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2E65" w14:textId="77777777" w:rsidR="00742C6D" w:rsidRDefault="00FC7937">
      <w:r w:rsidRPr="002E228F">
        <w:rPr>
          <w:b/>
          <w:noProof/>
          <w:sz w:val="20"/>
        </w:rPr>
        <w:drawing>
          <wp:anchor distT="0" distB="0" distL="114300" distR="114300" simplePos="0" relativeHeight="251659264" behindDoc="1" locked="0" layoutInCell="1" allowOverlap="1" wp14:anchorId="55FDC9F6" wp14:editId="0439D0F7">
            <wp:simplePos x="0" y="0"/>
            <wp:positionH relativeFrom="margin">
              <wp:posOffset>0</wp:posOffset>
            </wp:positionH>
            <wp:positionV relativeFrom="paragraph">
              <wp:posOffset>281940</wp:posOffset>
            </wp:positionV>
            <wp:extent cx="2628900" cy="748030"/>
            <wp:effectExtent l="0" t="0" r="0" b="0"/>
            <wp:wrapTight wrapText="bothSides">
              <wp:wrapPolygon edited="0">
                <wp:start x="0" y="0"/>
                <wp:lineTo x="0" y="20903"/>
                <wp:lineTo x="21443" y="20903"/>
                <wp:lineTo x="21443" y="0"/>
                <wp:lineTo x="0" y="0"/>
              </wp:wrapPolygon>
            </wp:wrapTight>
            <wp:docPr id="17" name="Picture 17" descr="S:\7 - Admin Templates\Willowbrook Logos\TMET Willowbrook M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7 - Admin Templates\Willowbrook Logos\TMET Willowbrook Me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95AC9C" w14:textId="77777777" w:rsidR="00FC7937" w:rsidRDefault="00FC7937">
      <w:r>
        <w:rPr>
          <w:b/>
          <w:noProof/>
          <w:sz w:val="20"/>
        </w:rPr>
        <w:drawing>
          <wp:anchor distT="0" distB="0" distL="114300" distR="114300" simplePos="0" relativeHeight="251661312" behindDoc="0" locked="0" layoutInCell="1" allowOverlap="1" wp14:anchorId="339918CD" wp14:editId="1359522F">
            <wp:simplePos x="0" y="0"/>
            <wp:positionH relativeFrom="column">
              <wp:posOffset>4582795</wp:posOffset>
            </wp:positionH>
            <wp:positionV relativeFrom="page">
              <wp:posOffset>1401445</wp:posOffset>
            </wp:positionV>
            <wp:extent cx="1363980" cy="735965"/>
            <wp:effectExtent l="0" t="0" r="762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382_TMET_Logo_RGB_No-Strap.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3980" cy="735965"/>
                    </a:xfrm>
                    <a:prstGeom prst="rect">
                      <a:avLst/>
                    </a:prstGeom>
                  </pic:spPr>
                </pic:pic>
              </a:graphicData>
            </a:graphic>
            <wp14:sizeRelH relativeFrom="margin">
              <wp14:pctWidth>0</wp14:pctWidth>
            </wp14:sizeRelH>
            <wp14:sizeRelV relativeFrom="margin">
              <wp14:pctHeight>0</wp14:pctHeight>
            </wp14:sizeRelV>
          </wp:anchor>
        </w:drawing>
      </w:r>
    </w:p>
    <w:p w14:paraId="2E0BC74C" w14:textId="77777777" w:rsidR="00FC7937" w:rsidRDefault="00FC7937"/>
    <w:p w14:paraId="14E9744C" w14:textId="77777777" w:rsidR="00FC7937" w:rsidRDefault="00FC7937"/>
    <w:p w14:paraId="5B1F383D" w14:textId="77777777" w:rsidR="00FC7937" w:rsidRDefault="00FC7937"/>
    <w:p w14:paraId="41C0AB53" w14:textId="77777777" w:rsidR="00FC7937" w:rsidRDefault="00FC7937"/>
    <w:p w14:paraId="17796DA4" w14:textId="77777777" w:rsidR="00FC7937" w:rsidRDefault="00FC7937" w:rsidP="00FC7937">
      <w:pPr>
        <w:spacing w:after="0" w:line="240" w:lineRule="auto"/>
        <w:jc w:val="center"/>
        <w:textAlignment w:val="baseline"/>
        <w:rPr>
          <w:rFonts w:ascii="Calibri" w:eastAsia="Times New Roman" w:hAnsi="Calibri" w:cs="Calibri"/>
          <w:b/>
          <w:bCs/>
          <w:sz w:val="28"/>
          <w:szCs w:val="28"/>
        </w:rPr>
      </w:pPr>
      <w:r>
        <w:rPr>
          <w:rFonts w:ascii="Calibri" w:eastAsia="Times New Roman" w:hAnsi="Calibri" w:cs="Calibri"/>
          <w:b/>
          <w:bCs/>
          <w:sz w:val="28"/>
          <w:szCs w:val="28"/>
        </w:rPr>
        <w:t>EYFS Policy</w:t>
      </w:r>
    </w:p>
    <w:p w14:paraId="286FE1EE" w14:textId="77777777" w:rsidR="00FC7937" w:rsidRPr="00D709B7" w:rsidRDefault="00FC7937" w:rsidP="00FC7937">
      <w:pPr>
        <w:spacing w:after="0" w:line="240" w:lineRule="auto"/>
        <w:jc w:val="center"/>
        <w:textAlignment w:val="baseline"/>
        <w:rPr>
          <w:rFonts w:ascii="Segoe UI" w:eastAsia="Times New Roman" w:hAnsi="Segoe UI" w:cs="Times New Roman"/>
          <w:sz w:val="18"/>
          <w:szCs w:val="18"/>
        </w:rPr>
      </w:pPr>
    </w:p>
    <w:p w14:paraId="673B2786" w14:textId="77777777" w:rsidR="00FC7937" w:rsidRPr="00D709B7" w:rsidRDefault="00FC7937" w:rsidP="00FC7937">
      <w:pPr>
        <w:spacing w:after="0" w:line="240" w:lineRule="auto"/>
        <w:textAlignment w:val="baseline"/>
        <w:rPr>
          <w:rFonts w:ascii="Segoe UI" w:eastAsia="Times New Roman" w:hAnsi="Segoe UI" w:cs="Times New Roman"/>
          <w:sz w:val="18"/>
          <w:szCs w:val="18"/>
        </w:rPr>
      </w:pPr>
      <w:r w:rsidRPr="00D709B7">
        <w:rPr>
          <w:rFonts w:ascii="Calibri" w:eastAsia="Times New Roman" w:hAnsi="Calibri" w:cs="Calibri"/>
          <w:b/>
          <w:bCs/>
        </w:rPr>
        <w:t>Policy Monitoring, Evaluation and Review </w:t>
      </w:r>
      <w:r w:rsidRPr="00D709B7">
        <w:rPr>
          <w:rFonts w:ascii="Calibri" w:eastAsia="Times New Roman" w:hAnsi="Calibri" w:cs="Calibri"/>
        </w:rPr>
        <w:t> </w:t>
      </w:r>
    </w:p>
    <w:p w14:paraId="63682521" w14:textId="77777777" w:rsidR="00FC7937" w:rsidRDefault="00FC7937" w:rsidP="00FC7937">
      <w:pPr>
        <w:spacing w:after="0" w:line="240" w:lineRule="auto"/>
        <w:textAlignment w:val="baseline"/>
        <w:rPr>
          <w:rFonts w:ascii="Calibri" w:eastAsia="Times New Roman" w:hAnsi="Calibri" w:cs="Calibri"/>
        </w:rPr>
      </w:pPr>
      <w:r w:rsidRPr="00D709B7">
        <w:rPr>
          <w:rFonts w:ascii="Calibri" w:eastAsia="Times New Roman" w:hAnsi="Calibri" w:cs="Calibri"/>
        </w:rPr>
        <w:t xml:space="preserve">This policy is effective for </w:t>
      </w:r>
      <w:r>
        <w:rPr>
          <w:rFonts w:ascii="Calibri" w:eastAsia="Times New Roman" w:hAnsi="Calibri" w:cs="Calibri"/>
        </w:rPr>
        <w:t>Willowbrook Mead Primary Academy</w:t>
      </w:r>
    </w:p>
    <w:p w14:paraId="2D6560F2" w14:textId="77777777" w:rsidR="00FC7937" w:rsidRPr="00D709B7" w:rsidRDefault="00FC7937" w:rsidP="00FC7937">
      <w:pPr>
        <w:spacing w:after="0" w:line="240" w:lineRule="auto"/>
        <w:textAlignment w:val="baseline"/>
        <w:rPr>
          <w:rFonts w:ascii="Segoe UI" w:eastAsia="Times New Roman" w:hAnsi="Segoe UI" w:cs="Times New Roman"/>
          <w:sz w:val="18"/>
          <w:szCs w:val="18"/>
        </w:rPr>
      </w:pPr>
    </w:p>
    <w:tbl>
      <w:tblPr>
        <w:tblW w:w="900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455"/>
      </w:tblGrid>
      <w:tr w:rsidR="00FC7937" w:rsidRPr="00D709B7" w14:paraId="4AC9C3A2" w14:textId="77777777" w:rsidTr="00C17712">
        <w:tc>
          <w:tcPr>
            <w:tcW w:w="1545" w:type="dxa"/>
            <w:tcBorders>
              <w:top w:val="single" w:sz="6" w:space="0" w:color="auto"/>
              <w:left w:val="single" w:sz="6" w:space="0" w:color="auto"/>
              <w:bottom w:val="single" w:sz="6" w:space="0" w:color="auto"/>
              <w:right w:val="single" w:sz="6" w:space="0" w:color="auto"/>
            </w:tcBorders>
            <w:shd w:val="clear" w:color="auto" w:fill="BCE08A"/>
            <w:hideMark/>
          </w:tcPr>
          <w:p w14:paraId="2544E45B"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Version:</w:t>
            </w:r>
            <w:r w:rsidRPr="00D709B7">
              <w:rPr>
                <w:rFonts w:ascii="Calibri" w:eastAsia="Times New Roman" w:hAnsi="Calibri" w:cs="Calibri"/>
              </w:rPr>
              <w:t> </w:t>
            </w:r>
          </w:p>
        </w:tc>
        <w:tc>
          <w:tcPr>
            <w:tcW w:w="7455" w:type="dxa"/>
            <w:tcBorders>
              <w:top w:val="single" w:sz="6" w:space="0" w:color="auto"/>
              <w:left w:val="nil"/>
              <w:bottom w:val="single" w:sz="6" w:space="0" w:color="auto"/>
              <w:right w:val="single" w:sz="6" w:space="0" w:color="auto"/>
            </w:tcBorders>
            <w:shd w:val="clear" w:color="auto" w:fill="auto"/>
            <w:hideMark/>
          </w:tcPr>
          <w:p w14:paraId="5EF932A0" w14:textId="77777777" w:rsidR="00FC7937" w:rsidRPr="004E01DE" w:rsidRDefault="00FC7937" w:rsidP="00C17712">
            <w:pPr>
              <w:spacing w:after="0" w:line="240" w:lineRule="auto"/>
              <w:ind w:right="-30"/>
              <w:textAlignment w:val="baseline"/>
              <w:rPr>
                <w:rFonts w:asciiTheme="majorHAnsi" w:eastAsia="Times New Roman" w:hAnsiTheme="majorHAnsi" w:cstheme="majorHAnsi"/>
                <w:sz w:val="24"/>
                <w:szCs w:val="24"/>
              </w:rPr>
            </w:pPr>
            <w:r w:rsidRPr="004E01DE">
              <w:rPr>
                <w:rFonts w:asciiTheme="majorHAnsi" w:eastAsia="Times New Roman" w:hAnsiTheme="majorHAnsi" w:cstheme="majorHAnsi"/>
              </w:rPr>
              <w:t> </w:t>
            </w:r>
          </w:p>
          <w:p w14:paraId="19180D7A" w14:textId="77777777" w:rsidR="00FC7937" w:rsidRPr="004E01DE" w:rsidRDefault="00FC7937" w:rsidP="00C17712">
            <w:pPr>
              <w:spacing w:after="0" w:line="240" w:lineRule="auto"/>
              <w:ind w:right="-30"/>
              <w:textAlignment w:val="baseline"/>
              <w:rPr>
                <w:rFonts w:asciiTheme="majorHAnsi" w:eastAsia="Times New Roman" w:hAnsiTheme="majorHAnsi" w:cstheme="majorHAnsi"/>
                <w:sz w:val="24"/>
                <w:szCs w:val="24"/>
              </w:rPr>
            </w:pPr>
            <w:r w:rsidRPr="004E01DE">
              <w:rPr>
                <w:rFonts w:asciiTheme="majorHAnsi" w:eastAsia="Times New Roman" w:hAnsiTheme="majorHAnsi" w:cstheme="majorHAnsi"/>
              </w:rPr>
              <w:t> 1</w:t>
            </w:r>
          </w:p>
        </w:tc>
      </w:tr>
      <w:tr w:rsidR="00FC7937" w:rsidRPr="00D709B7" w14:paraId="02872BBD" w14:textId="77777777" w:rsidTr="00FC7937">
        <w:tc>
          <w:tcPr>
            <w:tcW w:w="1545" w:type="dxa"/>
            <w:tcBorders>
              <w:top w:val="nil"/>
              <w:left w:val="single" w:sz="6" w:space="0" w:color="auto"/>
              <w:bottom w:val="single" w:sz="6" w:space="0" w:color="auto"/>
              <w:right w:val="single" w:sz="6" w:space="0" w:color="auto"/>
            </w:tcBorders>
            <w:shd w:val="clear" w:color="auto" w:fill="BCE08A"/>
            <w:hideMark/>
          </w:tcPr>
          <w:p w14:paraId="3962EE2D"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Date created:</w:t>
            </w:r>
            <w:r w:rsidRPr="00D709B7">
              <w:rPr>
                <w:rFonts w:ascii="Calibri" w:eastAsia="Times New Roman" w:hAnsi="Calibri" w:cs="Calibri"/>
              </w:rPr>
              <w:t> </w:t>
            </w:r>
          </w:p>
        </w:tc>
        <w:tc>
          <w:tcPr>
            <w:tcW w:w="7455" w:type="dxa"/>
            <w:tcBorders>
              <w:top w:val="nil"/>
              <w:left w:val="nil"/>
              <w:bottom w:val="single" w:sz="6" w:space="0" w:color="auto"/>
              <w:right w:val="single" w:sz="6" w:space="0" w:color="auto"/>
            </w:tcBorders>
            <w:shd w:val="clear" w:color="auto" w:fill="auto"/>
          </w:tcPr>
          <w:p w14:paraId="23580366" w14:textId="5101278A" w:rsidR="00FC7937" w:rsidRPr="004E01DE" w:rsidRDefault="00615FB2" w:rsidP="00C17712">
            <w:pPr>
              <w:spacing w:after="0" w:line="240" w:lineRule="auto"/>
              <w:ind w:right="-30"/>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t>May 2022</w:t>
            </w:r>
          </w:p>
        </w:tc>
      </w:tr>
      <w:tr w:rsidR="00FC7937" w:rsidRPr="00D709B7" w14:paraId="0C7425C2" w14:textId="77777777" w:rsidTr="00FC7937">
        <w:tc>
          <w:tcPr>
            <w:tcW w:w="1545" w:type="dxa"/>
            <w:tcBorders>
              <w:top w:val="nil"/>
              <w:left w:val="single" w:sz="6" w:space="0" w:color="auto"/>
              <w:bottom w:val="single" w:sz="6" w:space="0" w:color="auto"/>
              <w:right w:val="single" w:sz="6" w:space="0" w:color="auto"/>
            </w:tcBorders>
            <w:shd w:val="clear" w:color="auto" w:fill="BCE08A"/>
            <w:hideMark/>
          </w:tcPr>
          <w:p w14:paraId="16A5904F"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Author:</w:t>
            </w:r>
            <w:r w:rsidRPr="00D709B7">
              <w:rPr>
                <w:rFonts w:ascii="Calibri" w:eastAsia="Times New Roman" w:hAnsi="Calibri" w:cs="Calibri"/>
              </w:rPr>
              <w:t> </w:t>
            </w:r>
          </w:p>
        </w:tc>
        <w:tc>
          <w:tcPr>
            <w:tcW w:w="7455" w:type="dxa"/>
            <w:tcBorders>
              <w:top w:val="nil"/>
              <w:left w:val="nil"/>
              <w:bottom w:val="single" w:sz="6" w:space="0" w:color="auto"/>
              <w:right w:val="single" w:sz="6" w:space="0" w:color="auto"/>
            </w:tcBorders>
            <w:shd w:val="clear" w:color="auto" w:fill="auto"/>
          </w:tcPr>
          <w:p w14:paraId="689DE557" w14:textId="057432F1" w:rsidR="00FC7937" w:rsidRPr="004E01DE" w:rsidRDefault="004E01DE" w:rsidP="00C17712">
            <w:pPr>
              <w:spacing w:after="0" w:line="240" w:lineRule="auto"/>
              <w:ind w:right="-30"/>
              <w:textAlignment w:val="baseline"/>
              <w:rPr>
                <w:rFonts w:asciiTheme="majorHAnsi" w:eastAsia="Times New Roman" w:hAnsiTheme="majorHAnsi" w:cstheme="majorHAnsi"/>
                <w:sz w:val="24"/>
                <w:szCs w:val="24"/>
              </w:rPr>
            </w:pPr>
            <w:r w:rsidRPr="004E01DE">
              <w:rPr>
                <w:rFonts w:asciiTheme="majorHAnsi" w:eastAsia="Times New Roman" w:hAnsiTheme="majorHAnsi" w:cstheme="majorHAnsi"/>
                <w:sz w:val="24"/>
                <w:szCs w:val="24"/>
              </w:rPr>
              <w:t>Luka Moscetano</w:t>
            </w:r>
          </w:p>
        </w:tc>
      </w:tr>
      <w:tr w:rsidR="00FC7937" w:rsidRPr="00D709B7" w14:paraId="703D10AA" w14:textId="77777777" w:rsidTr="00FC7937">
        <w:tc>
          <w:tcPr>
            <w:tcW w:w="1545" w:type="dxa"/>
            <w:tcBorders>
              <w:top w:val="nil"/>
              <w:left w:val="single" w:sz="6" w:space="0" w:color="auto"/>
              <w:bottom w:val="single" w:sz="6" w:space="0" w:color="auto"/>
              <w:right w:val="single" w:sz="6" w:space="0" w:color="auto"/>
            </w:tcBorders>
            <w:shd w:val="clear" w:color="auto" w:fill="BCE08A"/>
            <w:hideMark/>
          </w:tcPr>
          <w:p w14:paraId="5ED92D36"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Review date:</w:t>
            </w:r>
            <w:r w:rsidRPr="00D709B7">
              <w:rPr>
                <w:rFonts w:ascii="Calibri" w:eastAsia="Times New Roman" w:hAnsi="Calibri" w:cs="Calibri"/>
              </w:rPr>
              <w:t> </w:t>
            </w:r>
          </w:p>
        </w:tc>
        <w:tc>
          <w:tcPr>
            <w:tcW w:w="7455" w:type="dxa"/>
            <w:tcBorders>
              <w:top w:val="nil"/>
              <w:left w:val="nil"/>
              <w:bottom w:val="single" w:sz="6" w:space="0" w:color="auto"/>
              <w:right w:val="single" w:sz="6" w:space="0" w:color="auto"/>
            </w:tcBorders>
            <w:shd w:val="clear" w:color="auto" w:fill="auto"/>
          </w:tcPr>
          <w:p w14:paraId="4CA85120" w14:textId="00A64365" w:rsidR="00FC7937" w:rsidRPr="004E01DE" w:rsidRDefault="002B23E7" w:rsidP="00C17712">
            <w:pPr>
              <w:spacing w:after="0" w:line="240" w:lineRule="auto"/>
              <w:ind w:right="-30"/>
              <w:textAlignment w:val="baseline"/>
              <w:rPr>
                <w:rFonts w:asciiTheme="majorHAnsi" w:eastAsia="Times New Roman" w:hAnsiTheme="majorHAnsi" w:cstheme="majorHAnsi"/>
                <w:sz w:val="24"/>
                <w:szCs w:val="24"/>
              </w:rPr>
            </w:pPr>
            <w:r>
              <w:rPr>
                <w:rFonts w:asciiTheme="majorHAnsi" w:eastAsia="Times New Roman" w:hAnsiTheme="majorHAnsi" w:cstheme="majorHAnsi"/>
                <w:sz w:val="24"/>
                <w:szCs w:val="24"/>
              </w:rPr>
              <w:t>May 202</w:t>
            </w:r>
            <w:r w:rsidR="00615FB2">
              <w:rPr>
                <w:rFonts w:asciiTheme="majorHAnsi" w:eastAsia="Times New Roman" w:hAnsiTheme="majorHAnsi" w:cstheme="majorHAnsi"/>
                <w:sz w:val="24"/>
                <w:szCs w:val="24"/>
              </w:rPr>
              <w:t>3</w:t>
            </w:r>
          </w:p>
        </w:tc>
      </w:tr>
    </w:tbl>
    <w:p w14:paraId="71B53401" w14:textId="77777777" w:rsidR="00FC7937" w:rsidRPr="00D709B7" w:rsidRDefault="00FC7937" w:rsidP="00FC7937">
      <w:pPr>
        <w:spacing w:after="0" w:line="240" w:lineRule="auto"/>
        <w:ind w:left="-435" w:right="-30"/>
        <w:textAlignment w:val="baseline"/>
        <w:rPr>
          <w:rFonts w:ascii="Segoe UI" w:eastAsia="Times New Roman" w:hAnsi="Segoe UI" w:cs="Times New Roman"/>
          <w:sz w:val="18"/>
          <w:szCs w:val="18"/>
        </w:rPr>
      </w:pPr>
      <w:r w:rsidRPr="00D709B7">
        <w:rPr>
          <w:rFonts w:ascii="Times New Roman" w:eastAsia="Times New Roman" w:hAnsi="Times New Roman" w:cs="Times New Roman"/>
        </w:rPr>
        <w:t> </w:t>
      </w:r>
    </w:p>
    <w:p w14:paraId="4F98FA15" w14:textId="77777777" w:rsidR="00FC7937" w:rsidRPr="00D709B7" w:rsidRDefault="00FC7937" w:rsidP="00FC7937">
      <w:pPr>
        <w:spacing w:after="0" w:line="240" w:lineRule="auto"/>
        <w:ind w:right="-30"/>
        <w:textAlignment w:val="baseline"/>
        <w:rPr>
          <w:rFonts w:ascii="Segoe UI" w:eastAsia="Times New Roman" w:hAnsi="Segoe UI" w:cs="Times New Roman"/>
          <w:sz w:val="18"/>
          <w:szCs w:val="18"/>
        </w:rPr>
      </w:pPr>
      <w:r w:rsidRPr="00D709B7">
        <w:rPr>
          <w:rFonts w:ascii="Calibri" w:eastAsia="Times New Roman" w:hAnsi="Calibri" w:cs="Calibri"/>
          <w:b/>
          <w:bCs/>
          <w:lang w:val="en-US"/>
        </w:rPr>
        <w:t>Revision History:</w:t>
      </w:r>
      <w:r w:rsidRPr="00D709B7">
        <w:rPr>
          <w:rFonts w:ascii="Calibri" w:eastAsia="Times New Roman" w:hAnsi="Calibri" w:cs="Calibri"/>
        </w:rPr>
        <w:t> </w:t>
      </w:r>
    </w:p>
    <w:p w14:paraId="3ABECAE0" w14:textId="77777777" w:rsidR="00FC7937" w:rsidRPr="00D709B7" w:rsidRDefault="00FC7937" w:rsidP="00FC7937">
      <w:pPr>
        <w:spacing w:after="0" w:line="240" w:lineRule="auto"/>
        <w:ind w:left="-435" w:right="-30"/>
        <w:textAlignment w:val="baseline"/>
        <w:rPr>
          <w:rFonts w:ascii="Segoe UI" w:eastAsia="Times New Roman" w:hAnsi="Segoe UI" w:cs="Times New Roman"/>
          <w:sz w:val="18"/>
          <w:szCs w:val="18"/>
        </w:rPr>
      </w:pPr>
      <w:r w:rsidRPr="00D709B7">
        <w:rPr>
          <w:rFonts w:ascii="Times New Roman" w:eastAsia="Times New Roman" w:hAnsi="Times New Roman" w:cs="Times New Roman"/>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8"/>
        <w:gridCol w:w="1406"/>
        <w:gridCol w:w="854"/>
        <w:gridCol w:w="5777"/>
      </w:tblGrid>
      <w:tr w:rsidR="00FC7937" w:rsidRPr="00D709B7" w14:paraId="56410155" w14:textId="77777777" w:rsidTr="00C17712">
        <w:tc>
          <w:tcPr>
            <w:tcW w:w="990" w:type="dxa"/>
            <w:tcBorders>
              <w:top w:val="single" w:sz="6" w:space="0" w:color="auto"/>
              <w:left w:val="single" w:sz="6" w:space="0" w:color="auto"/>
              <w:bottom w:val="single" w:sz="6" w:space="0" w:color="auto"/>
              <w:right w:val="single" w:sz="6" w:space="0" w:color="auto"/>
            </w:tcBorders>
            <w:shd w:val="clear" w:color="auto" w:fill="BCE08A"/>
            <w:vAlign w:val="center"/>
            <w:hideMark/>
          </w:tcPr>
          <w:p w14:paraId="4479C5A5"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Version</w:t>
            </w:r>
            <w:r w:rsidRPr="00D709B7">
              <w:rPr>
                <w:rFonts w:ascii="Calibri" w:eastAsia="Times New Roman" w:hAnsi="Calibri" w:cs="Calibri"/>
              </w:rPr>
              <w:t> </w:t>
            </w:r>
          </w:p>
        </w:tc>
        <w:tc>
          <w:tcPr>
            <w:tcW w:w="1410" w:type="dxa"/>
            <w:tcBorders>
              <w:top w:val="single" w:sz="6" w:space="0" w:color="auto"/>
              <w:left w:val="nil"/>
              <w:bottom w:val="single" w:sz="6" w:space="0" w:color="auto"/>
              <w:right w:val="single" w:sz="6" w:space="0" w:color="auto"/>
            </w:tcBorders>
            <w:shd w:val="clear" w:color="auto" w:fill="BCE08A"/>
            <w:vAlign w:val="center"/>
            <w:hideMark/>
          </w:tcPr>
          <w:p w14:paraId="0EA035B8"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Date</w:t>
            </w:r>
            <w:r w:rsidRPr="00D709B7">
              <w:rPr>
                <w:rFonts w:ascii="Calibri" w:eastAsia="Times New Roman" w:hAnsi="Calibri" w:cs="Calibri"/>
              </w:rPr>
              <w:t> </w:t>
            </w:r>
          </w:p>
        </w:tc>
        <w:tc>
          <w:tcPr>
            <w:tcW w:w="855" w:type="dxa"/>
            <w:tcBorders>
              <w:top w:val="single" w:sz="6" w:space="0" w:color="auto"/>
              <w:left w:val="nil"/>
              <w:bottom w:val="single" w:sz="6" w:space="0" w:color="auto"/>
              <w:right w:val="single" w:sz="6" w:space="0" w:color="auto"/>
            </w:tcBorders>
            <w:shd w:val="clear" w:color="auto" w:fill="BCE08A"/>
            <w:vAlign w:val="center"/>
            <w:hideMark/>
          </w:tcPr>
          <w:p w14:paraId="3339811A"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Author</w:t>
            </w:r>
            <w:r w:rsidRPr="00D709B7">
              <w:rPr>
                <w:rFonts w:ascii="Calibri" w:eastAsia="Times New Roman" w:hAnsi="Calibri" w:cs="Calibri"/>
              </w:rPr>
              <w:t> </w:t>
            </w:r>
          </w:p>
        </w:tc>
        <w:tc>
          <w:tcPr>
            <w:tcW w:w="5805" w:type="dxa"/>
            <w:tcBorders>
              <w:top w:val="single" w:sz="6" w:space="0" w:color="auto"/>
              <w:left w:val="nil"/>
              <w:bottom w:val="single" w:sz="6" w:space="0" w:color="auto"/>
              <w:right w:val="single" w:sz="6" w:space="0" w:color="auto"/>
            </w:tcBorders>
            <w:shd w:val="clear" w:color="auto" w:fill="BCE08A"/>
            <w:vAlign w:val="center"/>
            <w:hideMark/>
          </w:tcPr>
          <w:p w14:paraId="401A9132"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Calibri" w:eastAsia="Times New Roman" w:hAnsi="Calibri" w:cs="Calibri"/>
                <w:b/>
                <w:bCs/>
                <w:lang w:val="en-US"/>
              </w:rPr>
              <w:t>Summary of Changes:</w:t>
            </w:r>
            <w:r w:rsidRPr="00D709B7">
              <w:rPr>
                <w:rFonts w:ascii="Calibri" w:eastAsia="Times New Roman" w:hAnsi="Calibri" w:cs="Calibri"/>
              </w:rPr>
              <w:t> </w:t>
            </w:r>
          </w:p>
        </w:tc>
      </w:tr>
      <w:tr w:rsidR="00FC7937" w:rsidRPr="00D709B7" w14:paraId="43558484" w14:textId="77777777" w:rsidTr="00FC7937">
        <w:tc>
          <w:tcPr>
            <w:tcW w:w="990" w:type="dxa"/>
            <w:tcBorders>
              <w:top w:val="nil"/>
              <w:left w:val="single" w:sz="6" w:space="0" w:color="auto"/>
              <w:bottom w:val="single" w:sz="6" w:space="0" w:color="auto"/>
              <w:right w:val="single" w:sz="6" w:space="0" w:color="auto"/>
            </w:tcBorders>
            <w:shd w:val="clear" w:color="auto" w:fill="auto"/>
            <w:vAlign w:val="center"/>
          </w:tcPr>
          <w:p w14:paraId="16DCEF60" w14:textId="76AE7E8C" w:rsidR="00FC7937" w:rsidRPr="006B194E" w:rsidRDefault="000F6555" w:rsidP="00C17712">
            <w:pPr>
              <w:spacing w:after="0" w:line="240" w:lineRule="auto"/>
              <w:ind w:left="-435" w:right="-30"/>
              <w:jc w:val="center"/>
              <w:textAlignment w:val="baseline"/>
              <w:rPr>
                <w:rFonts w:eastAsia="Times New Roman" w:cstheme="minorHAnsi"/>
                <w:sz w:val="24"/>
                <w:szCs w:val="24"/>
              </w:rPr>
            </w:pPr>
            <w:r>
              <w:rPr>
                <w:rFonts w:eastAsia="Times New Roman" w:cstheme="minorHAnsi"/>
                <w:sz w:val="24"/>
                <w:szCs w:val="24"/>
              </w:rPr>
              <w:t>2.0</w:t>
            </w:r>
          </w:p>
        </w:tc>
        <w:tc>
          <w:tcPr>
            <w:tcW w:w="1410" w:type="dxa"/>
            <w:tcBorders>
              <w:top w:val="nil"/>
              <w:left w:val="nil"/>
              <w:bottom w:val="single" w:sz="6" w:space="0" w:color="auto"/>
              <w:right w:val="single" w:sz="6" w:space="0" w:color="auto"/>
            </w:tcBorders>
            <w:shd w:val="clear" w:color="auto" w:fill="auto"/>
            <w:vAlign w:val="center"/>
          </w:tcPr>
          <w:p w14:paraId="34D7F304" w14:textId="3A8AD0E2" w:rsidR="00FC7937" w:rsidRPr="006B194E" w:rsidRDefault="000F6555" w:rsidP="00C17712">
            <w:pPr>
              <w:spacing w:after="0" w:line="240" w:lineRule="auto"/>
              <w:ind w:left="-225" w:right="-30"/>
              <w:jc w:val="center"/>
              <w:textAlignment w:val="baseline"/>
              <w:rPr>
                <w:rFonts w:eastAsia="Times New Roman" w:cstheme="minorHAnsi"/>
                <w:sz w:val="24"/>
                <w:szCs w:val="24"/>
              </w:rPr>
            </w:pPr>
            <w:r>
              <w:rPr>
                <w:rFonts w:eastAsia="Times New Roman" w:cstheme="minorHAnsi"/>
                <w:sz w:val="24"/>
                <w:szCs w:val="24"/>
              </w:rPr>
              <w:t>29.10.23</w:t>
            </w:r>
          </w:p>
        </w:tc>
        <w:tc>
          <w:tcPr>
            <w:tcW w:w="855" w:type="dxa"/>
            <w:tcBorders>
              <w:top w:val="nil"/>
              <w:left w:val="nil"/>
              <w:bottom w:val="single" w:sz="6" w:space="0" w:color="auto"/>
              <w:right w:val="single" w:sz="6" w:space="0" w:color="auto"/>
            </w:tcBorders>
            <w:shd w:val="clear" w:color="auto" w:fill="auto"/>
            <w:vAlign w:val="center"/>
          </w:tcPr>
          <w:p w14:paraId="5B92C2AF" w14:textId="0BD84620" w:rsidR="00FC7937" w:rsidRPr="006B194E" w:rsidRDefault="000F6555" w:rsidP="00C17712">
            <w:pPr>
              <w:spacing w:after="0" w:line="240" w:lineRule="auto"/>
              <w:ind w:left="-435" w:right="-30"/>
              <w:jc w:val="center"/>
              <w:textAlignment w:val="baseline"/>
              <w:rPr>
                <w:rFonts w:eastAsia="Times New Roman" w:cstheme="minorHAnsi"/>
                <w:sz w:val="24"/>
                <w:szCs w:val="24"/>
              </w:rPr>
            </w:pPr>
            <w:r>
              <w:rPr>
                <w:rFonts w:eastAsia="Times New Roman" w:cstheme="minorHAnsi"/>
                <w:sz w:val="24"/>
                <w:szCs w:val="24"/>
              </w:rPr>
              <w:t>LM</w:t>
            </w:r>
          </w:p>
        </w:tc>
        <w:tc>
          <w:tcPr>
            <w:tcW w:w="5805" w:type="dxa"/>
            <w:tcBorders>
              <w:top w:val="nil"/>
              <w:left w:val="nil"/>
              <w:bottom w:val="single" w:sz="6" w:space="0" w:color="auto"/>
              <w:right w:val="single" w:sz="6" w:space="0" w:color="auto"/>
            </w:tcBorders>
            <w:shd w:val="clear" w:color="auto" w:fill="auto"/>
            <w:vAlign w:val="center"/>
          </w:tcPr>
          <w:p w14:paraId="2843926F" w14:textId="032CCE7C" w:rsidR="00FC7937" w:rsidRPr="006B194E" w:rsidRDefault="00FC7937" w:rsidP="00C17712">
            <w:pPr>
              <w:spacing w:after="0" w:line="240" w:lineRule="auto"/>
              <w:ind w:right="-30"/>
              <w:textAlignment w:val="baseline"/>
              <w:rPr>
                <w:rFonts w:eastAsia="Times New Roman" w:cstheme="minorHAnsi"/>
                <w:sz w:val="24"/>
                <w:szCs w:val="24"/>
              </w:rPr>
            </w:pPr>
          </w:p>
        </w:tc>
      </w:tr>
      <w:tr w:rsidR="00FC7937" w:rsidRPr="00D709B7" w14:paraId="5438BEF3" w14:textId="77777777" w:rsidTr="00615FB2">
        <w:trPr>
          <w:trHeight w:val="394"/>
        </w:trPr>
        <w:tc>
          <w:tcPr>
            <w:tcW w:w="990" w:type="dxa"/>
            <w:tcBorders>
              <w:top w:val="nil"/>
              <w:left w:val="single" w:sz="6" w:space="0" w:color="auto"/>
              <w:bottom w:val="single" w:sz="6" w:space="0" w:color="auto"/>
              <w:right w:val="single" w:sz="6" w:space="0" w:color="auto"/>
            </w:tcBorders>
            <w:shd w:val="clear" w:color="auto" w:fill="auto"/>
            <w:vAlign w:val="center"/>
          </w:tcPr>
          <w:p w14:paraId="42C98DC6" w14:textId="27A92233" w:rsidR="00FC7937" w:rsidRPr="002B23E7" w:rsidRDefault="00FC7937" w:rsidP="00C17712">
            <w:pPr>
              <w:spacing w:after="0" w:line="240" w:lineRule="auto"/>
              <w:ind w:left="-435" w:right="-30"/>
              <w:jc w:val="center"/>
              <w:textAlignment w:val="baseline"/>
              <w:rPr>
                <w:rFonts w:eastAsia="Times New Roman" w:cstheme="minorHAnsi"/>
                <w:sz w:val="24"/>
                <w:szCs w:val="24"/>
              </w:rPr>
            </w:pPr>
          </w:p>
        </w:tc>
        <w:tc>
          <w:tcPr>
            <w:tcW w:w="1410" w:type="dxa"/>
            <w:tcBorders>
              <w:top w:val="nil"/>
              <w:left w:val="nil"/>
              <w:bottom w:val="single" w:sz="6" w:space="0" w:color="auto"/>
              <w:right w:val="single" w:sz="6" w:space="0" w:color="auto"/>
            </w:tcBorders>
            <w:shd w:val="clear" w:color="auto" w:fill="auto"/>
            <w:vAlign w:val="center"/>
          </w:tcPr>
          <w:p w14:paraId="4950CC41" w14:textId="61C041CC" w:rsidR="00FC7937" w:rsidRPr="002B23E7" w:rsidRDefault="00FC7937" w:rsidP="00C17712">
            <w:pPr>
              <w:spacing w:after="0" w:line="240" w:lineRule="auto"/>
              <w:ind w:left="-435" w:right="-30"/>
              <w:jc w:val="center"/>
              <w:textAlignment w:val="baseline"/>
              <w:rPr>
                <w:rFonts w:eastAsia="Times New Roman" w:cstheme="minorHAnsi"/>
                <w:sz w:val="24"/>
                <w:szCs w:val="24"/>
              </w:rPr>
            </w:pPr>
          </w:p>
        </w:tc>
        <w:tc>
          <w:tcPr>
            <w:tcW w:w="855" w:type="dxa"/>
            <w:tcBorders>
              <w:top w:val="nil"/>
              <w:left w:val="nil"/>
              <w:bottom w:val="single" w:sz="6" w:space="0" w:color="auto"/>
              <w:right w:val="single" w:sz="6" w:space="0" w:color="auto"/>
            </w:tcBorders>
            <w:shd w:val="clear" w:color="auto" w:fill="auto"/>
            <w:vAlign w:val="center"/>
          </w:tcPr>
          <w:p w14:paraId="3BB8C5F6" w14:textId="1AD7BED2" w:rsidR="00FC7937" w:rsidRPr="002B23E7" w:rsidRDefault="00FC7937" w:rsidP="002B23E7">
            <w:pPr>
              <w:spacing w:after="0" w:line="240" w:lineRule="auto"/>
              <w:ind w:right="-30"/>
              <w:textAlignment w:val="baseline"/>
              <w:rPr>
                <w:rFonts w:eastAsia="Times New Roman" w:cstheme="minorHAnsi"/>
                <w:sz w:val="24"/>
                <w:szCs w:val="24"/>
              </w:rPr>
            </w:pPr>
          </w:p>
        </w:tc>
        <w:tc>
          <w:tcPr>
            <w:tcW w:w="5805" w:type="dxa"/>
            <w:tcBorders>
              <w:top w:val="nil"/>
              <w:left w:val="nil"/>
              <w:bottom w:val="single" w:sz="6" w:space="0" w:color="auto"/>
              <w:right w:val="single" w:sz="6" w:space="0" w:color="auto"/>
            </w:tcBorders>
            <w:shd w:val="clear" w:color="auto" w:fill="auto"/>
            <w:vAlign w:val="center"/>
          </w:tcPr>
          <w:p w14:paraId="23D241F3" w14:textId="207DF2C9" w:rsidR="00FC7937" w:rsidRPr="002B23E7" w:rsidRDefault="00FC7937" w:rsidP="00C17712">
            <w:pPr>
              <w:spacing w:after="0" w:line="240" w:lineRule="auto"/>
              <w:ind w:right="-30"/>
              <w:textAlignment w:val="baseline"/>
              <w:rPr>
                <w:rFonts w:eastAsia="Times New Roman" w:cstheme="minorHAnsi"/>
                <w:sz w:val="24"/>
                <w:szCs w:val="24"/>
              </w:rPr>
            </w:pPr>
          </w:p>
        </w:tc>
      </w:tr>
      <w:tr w:rsidR="00FC7937" w:rsidRPr="00D709B7" w14:paraId="3BEBFDB0" w14:textId="77777777" w:rsidTr="00C17712">
        <w:tc>
          <w:tcPr>
            <w:tcW w:w="990" w:type="dxa"/>
            <w:tcBorders>
              <w:top w:val="nil"/>
              <w:left w:val="single" w:sz="6" w:space="0" w:color="auto"/>
              <w:bottom w:val="single" w:sz="6" w:space="0" w:color="auto"/>
              <w:right w:val="single" w:sz="6" w:space="0" w:color="auto"/>
            </w:tcBorders>
            <w:shd w:val="clear" w:color="auto" w:fill="auto"/>
            <w:vAlign w:val="center"/>
            <w:hideMark/>
          </w:tcPr>
          <w:p w14:paraId="2002488C"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1410" w:type="dxa"/>
            <w:tcBorders>
              <w:top w:val="nil"/>
              <w:left w:val="nil"/>
              <w:bottom w:val="single" w:sz="6" w:space="0" w:color="auto"/>
              <w:right w:val="single" w:sz="6" w:space="0" w:color="auto"/>
            </w:tcBorders>
            <w:shd w:val="clear" w:color="auto" w:fill="auto"/>
            <w:vAlign w:val="center"/>
            <w:hideMark/>
          </w:tcPr>
          <w:p w14:paraId="12A5D54A"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855" w:type="dxa"/>
            <w:tcBorders>
              <w:top w:val="nil"/>
              <w:left w:val="nil"/>
              <w:bottom w:val="single" w:sz="6" w:space="0" w:color="auto"/>
              <w:right w:val="single" w:sz="6" w:space="0" w:color="auto"/>
            </w:tcBorders>
            <w:shd w:val="clear" w:color="auto" w:fill="auto"/>
            <w:vAlign w:val="center"/>
            <w:hideMark/>
          </w:tcPr>
          <w:p w14:paraId="7EF434B9"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5805" w:type="dxa"/>
            <w:tcBorders>
              <w:top w:val="nil"/>
              <w:left w:val="nil"/>
              <w:bottom w:val="single" w:sz="6" w:space="0" w:color="auto"/>
              <w:right w:val="single" w:sz="6" w:space="0" w:color="auto"/>
            </w:tcBorders>
            <w:shd w:val="clear" w:color="auto" w:fill="auto"/>
            <w:vAlign w:val="center"/>
            <w:hideMark/>
          </w:tcPr>
          <w:p w14:paraId="799789ED"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p w14:paraId="45933884"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r>
      <w:tr w:rsidR="00FC7937" w:rsidRPr="00D709B7" w14:paraId="4B84450C" w14:textId="77777777" w:rsidTr="00C17712">
        <w:tc>
          <w:tcPr>
            <w:tcW w:w="990" w:type="dxa"/>
            <w:tcBorders>
              <w:top w:val="nil"/>
              <w:left w:val="single" w:sz="6" w:space="0" w:color="auto"/>
              <w:bottom w:val="single" w:sz="6" w:space="0" w:color="auto"/>
              <w:right w:val="single" w:sz="6" w:space="0" w:color="auto"/>
            </w:tcBorders>
            <w:shd w:val="clear" w:color="auto" w:fill="auto"/>
            <w:vAlign w:val="center"/>
            <w:hideMark/>
          </w:tcPr>
          <w:p w14:paraId="67702BB1"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1410" w:type="dxa"/>
            <w:tcBorders>
              <w:top w:val="nil"/>
              <w:left w:val="nil"/>
              <w:bottom w:val="single" w:sz="6" w:space="0" w:color="auto"/>
              <w:right w:val="single" w:sz="6" w:space="0" w:color="auto"/>
            </w:tcBorders>
            <w:shd w:val="clear" w:color="auto" w:fill="auto"/>
            <w:vAlign w:val="center"/>
            <w:hideMark/>
          </w:tcPr>
          <w:p w14:paraId="55490E93"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855" w:type="dxa"/>
            <w:tcBorders>
              <w:top w:val="nil"/>
              <w:left w:val="nil"/>
              <w:bottom w:val="single" w:sz="6" w:space="0" w:color="auto"/>
              <w:right w:val="single" w:sz="6" w:space="0" w:color="auto"/>
            </w:tcBorders>
            <w:shd w:val="clear" w:color="auto" w:fill="auto"/>
            <w:vAlign w:val="center"/>
            <w:hideMark/>
          </w:tcPr>
          <w:p w14:paraId="6EC0FF1B"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5805" w:type="dxa"/>
            <w:tcBorders>
              <w:top w:val="nil"/>
              <w:left w:val="nil"/>
              <w:bottom w:val="single" w:sz="6" w:space="0" w:color="auto"/>
              <w:right w:val="single" w:sz="6" w:space="0" w:color="auto"/>
            </w:tcBorders>
            <w:shd w:val="clear" w:color="auto" w:fill="auto"/>
            <w:vAlign w:val="center"/>
            <w:hideMark/>
          </w:tcPr>
          <w:p w14:paraId="7D07A99D"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p w14:paraId="2A02E126"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r>
      <w:tr w:rsidR="00FC7937" w:rsidRPr="00D709B7" w14:paraId="2C9928F2" w14:textId="77777777" w:rsidTr="00C17712">
        <w:tc>
          <w:tcPr>
            <w:tcW w:w="990" w:type="dxa"/>
            <w:tcBorders>
              <w:top w:val="nil"/>
              <w:left w:val="single" w:sz="6" w:space="0" w:color="auto"/>
              <w:bottom w:val="single" w:sz="6" w:space="0" w:color="auto"/>
              <w:right w:val="single" w:sz="6" w:space="0" w:color="auto"/>
            </w:tcBorders>
            <w:shd w:val="clear" w:color="auto" w:fill="auto"/>
            <w:vAlign w:val="center"/>
            <w:hideMark/>
          </w:tcPr>
          <w:p w14:paraId="2C59B9D3"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1410" w:type="dxa"/>
            <w:tcBorders>
              <w:top w:val="nil"/>
              <w:left w:val="nil"/>
              <w:bottom w:val="single" w:sz="6" w:space="0" w:color="auto"/>
              <w:right w:val="single" w:sz="6" w:space="0" w:color="auto"/>
            </w:tcBorders>
            <w:shd w:val="clear" w:color="auto" w:fill="auto"/>
            <w:vAlign w:val="center"/>
            <w:hideMark/>
          </w:tcPr>
          <w:p w14:paraId="093A8CAD"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855" w:type="dxa"/>
            <w:tcBorders>
              <w:top w:val="nil"/>
              <w:left w:val="nil"/>
              <w:bottom w:val="single" w:sz="6" w:space="0" w:color="auto"/>
              <w:right w:val="single" w:sz="6" w:space="0" w:color="auto"/>
            </w:tcBorders>
            <w:shd w:val="clear" w:color="auto" w:fill="auto"/>
            <w:vAlign w:val="center"/>
            <w:hideMark/>
          </w:tcPr>
          <w:p w14:paraId="26338518" w14:textId="77777777" w:rsidR="00FC7937" w:rsidRPr="00D709B7" w:rsidRDefault="00FC7937" w:rsidP="00C17712">
            <w:pPr>
              <w:spacing w:after="0" w:line="240" w:lineRule="auto"/>
              <w:ind w:left="-435" w:right="-30"/>
              <w:jc w:val="center"/>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c>
          <w:tcPr>
            <w:tcW w:w="5805" w:type="dxa"/>
            <w:tcBorders>
              <w:top w:val="nil"/>
              <w:left w:val="nil"/>
              <w:bottom w:val="single" w:sz="6" w:space="0" w:color="auto"/>
              <w:right w:val="single" w:sz="6" w:space="0" w:color="auto"/>
            </w:tcBorders>
            <w:shd w:val="clear" w:color="auto" w:fill="auto"/>
            <w:vAlign w:val="center"/>
            <w:hideMark/>
          </w:tcPr>
          <w:p w14:paraId="21859EB2"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p w14:paraId="1E25D640" w14:textId="77777777" w:rsidR="00FC7937" w:rsidRPr="00D709B7" w:rsidRDefault="00FC7937" w:rsidP="00C17712">
            <w:pPr>
              <w:spacing w:after="0" w:line="240" w:lineRule="auto"/>
              <w:ind w:right="-30"/>
              <w:textAlignment w:val="baseline"/>
              <w:rPr>
                <w:rFonts w:ascii="Times New Roman" w:eastAsia="Times New Roman" w:hAnsi="Times New Roman" w:cs="Times New Roman"/>
                <w:sz w:val="24"/>
                <w:szCs w:val="24"/>
              </w:rPr>
            </w:pPr>
            <w:r w:rsidRPr="00D709B7">
              <w:rPr>
                <w:rFonts w:ascii="Tw Cen MT" w:eastAsia="Times New Roman" w:hAnsi="Tw Cen MT" w:cs="Times New Roman"/>
              </w:rPr>
              <w:t> </w:t>
            </w:r>
          </w:p>
        </w:tc>
      </w:tr>
    </w:tbl>
    <w:p w14:paraId="37786E6C" w14:textId="57B2E090" w:rsidR="00FC7937" w:rsidRPr="008721E8" w:rsidRDefault="00FC7937" w:rsidP="008721E8">
      <w:pPr>
        <w:pStyle w:val="Default"/>
        <w:rPr>
          <w:rFonts w:ascii="Calibri" w:hAnsi="Calibri" w:cs="Calibri"/>
          <w:b/>
          <w:bCs/>
          <w:sz w:val="23"/>
          <w:szCs w:val="23"/>
        </w:rPr>
      </w:pPr>
    </w:p>
    <w:p w14:paraId="0801B134" w14:textId="0D806C16" w:rsidR="00C93776" w:rsidRDefault="00C93776">
      <w:pPr>
        <w:rPr>
          <w:rFonts w:cstheme="minorHAnsi"/>
          <w:b/>
          <w:u w:val="single"/>
        </w:rPr>
      </w:pPr>
      <w:r w:rsidRPr="008721E8">
        <w:rPr>
          <w:rFonts w:cstheme="minorHAnsi"/>
          <w:b/>
          <w:noProof/>
          <w:u w:val="single"/>
        </w:rPr>
        <mc:AlternateContent>
          <mc:Choice Requires="wps">
            <w:drawing>
              <wp:anchor distT="45720" distB="45720" distL="114300" distR="114300" simplePos="0" relativeHeight="251663360" behindDoc="0" locked="0" layoutInCell="1" allowOverlap="1" wp14:anchorId="40710D3C" wp14:editId="12BF3327">
                <wp:simplePos x="0" y="0"/>
                <wp:positionH relativeFrom="margin">
                  <wp:align>left</wp:align>
                </wp:positionH>
                <wp:positionV relativeFrom="paragraph">
                  <wp:posOffset>343010</wp:posOffset>
                </wp:positionV>
                <wp:extent cx="5605145" cy="224980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2249805"/>
                        </a:xfrm>
                        <a:prstGeom prst="rect">
                          <a:avLst/>
                        </a:prstGeom>
                        <a:solidFill>
                          <a:srgbClr val="FFFFFF"/>
                        </a:solidFill>
                        <a:ln w="9525">
                          <a:noFill/>
                          <a:miter lim="800000"/>
                          <a:headEnd/>
                          <a:tailEnd/>
                        </a:ln>
                      </wps:spPr>
                      <wps:txbx>
                        <w:txbxContent>
                          <w:p w14:paraId="74E4E7A4" w14:textId="25CC11A4" w:rsidR="008721E8" w:rsidRDefault="008721E8">
                            <w:r>
                              <w:t xml:space="preserve">Contents: </w:t>
                            </w:r>
                          </w:p>
                          <w:p w14:paraId="20CD9998" w14:textId="6063B2EA" w:rsidR="008721E8" w:rsidRDefault="008721E8" w:rsidP="008721E8">
                            <w:pPr>
                              <w:pStyle w:val="ListParagraph"/>
                              <w:numPr>
                                <w:ilvl w:val="0"/>
                                <w:numId w:val="7"/>
                              </w:numPr>
                            </w:pPr>
                            <w:r>
                              <w:t>Aims</w:t>
                            </w:r>
                          </w:p>
                          <w:p w14:paraId="6BD3AE8B" w14:textId="205AF585" w:rsidR="008721E8" w:rsidRDefault="008721E8" w:rsidP="008721E8">
                            <w:pPr>
                              <w:pStyle w:val="ListParagraph"/>
                              <w:numPr>
                                <w:ilvl w:val="0"/>
                                <w:numId w:val="7"/>
                              </w:numPr>
                            </w:pPr>
                            <w:r>
                              <w:t>Our Intent</w:t>
                            </w:r>
                          </w:p>
                          <w:p w14:paraId="5C89A7A9" w14:textId="3220931E" w:rsidR="008721E8" w:rsidRDefault="008721E8" w:rsidP="008721E8">
                            <w:pPr>
                              <w:pStyle w:val="ListParagraph"/>
                              <w:numPr>
                                <w:ilvl w:val="0"/>
                                <w:numId w:val="7"/>
                              </w:numPr>
                            </w:pPr>
                            <w:r>
                              <w:t>Legislation</w:t>
                            </w:r>
                          </w:p>
                          <w:p w14:paraId="26B8C728" w14:textId="1A91CABE" w:rsidR="008721E8" w:rsidRDefault="008721E8" w:rsidP="008721E8">
                            <w:pPr>
                              <w:pStyle w:val="ListParagraph"/>
                              <w:numPr>
                                <w:ilvl w:val="0"/>
                                <w:numId w:val="7"/>
                              </w:numPr>
                            </w:pPr>
                            <w:r>
                              <w:t>Structure of EYFS</w:t>
                            </w:r>
                          </w:p>
                          <w:p w14:paraId="661B9F6E" w14:textId="24BC358E" w:rsidR="008721E8" w:rsidRDefault="008721E8" w:rsidP="008721E8">
                            <w:pPr>
                              <w:pStyle w:val="ListParagraph"/>
                              <w:numPr>
                                <w:ilvl w:val="0"/>
                                <w:numId w:val="7"/>
                              </w:numPr>
                            </w:pPr>
                            <w:r>
                              <w:t>Curriculum</w:t>
                            </w:r>
                          </w:p>
                          <w:p w14:paraId="635F5516" w14:textId="462649A1" w:rsidR="008721E8" w:rsidRDefault="008721E8" w:rsidP="008721E8">
                            <w:pPr>
                              <w:pStyle w:val="ListParagraph"/>
                              <w:numPr>
                                <w:ilvl w:val="0"/>
                                <w:numId w:val="7"/>
                              </w:numPr>
                            </w:pPr>
                            <w:r>
                              <w:t>Assessment</w:t>
                            </w:r>
                          </w:p>
                          <w:p w14:paraId="45E3920F" w14:textId="49F2D247" w:rsidR="008721E8" w:rsidRDefault="008721E8" w:rsidP="008721E8">
                            <w:pPr>
                              <w:pStyle w:val="ListParagraph"/>
                              <w:numPr>
                                <w:ilvl w:val="0"/>
                                <w:numId w:val="7"/>
                              </w:numPr>
                            </w:pPr>
                            <w:r>
                              <w:t>Working with parents</w:t>
                            </w:r>
                          </w:p>
                          <w:p w14:paraId="0379DBB7" w14:textId="15DE18D5" w:rsidR="008721E8" w:rsidRDefault="00017895" w:rsidP="008721E8">
                            <w:pPr>
                              <w:pStyle w:val="ListParagraph"/>
                              <w:numPr>
                                <w:ilvl w:val="0"/>
                                <w:numId w:val="7"/>
                              </w:numPr>
                            </w:pPr>
                            <w:r>
                              <w:t xml:space="preserve">Safeguarding and welfare procedures </w:t>
                            </w:r>
                          </w:p>
                          <w:p w14:paraId="28D2747C" w14:textId="77777777" w:rsidR="00DB4FB5" w:rsidRPr="00DB4FB5" w:rsidRDefault="00DB4FB5" w:rsidP="00DB4FB5">
                            <w:pPr>
                              <w:pStyle w:val="ListParagraph"/>
                              <w:numPr>
                                <w:ilvl w:val="0"/>
                                <w:numId w:val="7"/>
                              </w:numPr>
                            </w:pPr>
                            <w:r w:rsidRPr="00DB4FB5">
                              <w:t>Equal Opportunities, Inclusion and Special Education Needs</w:t>
                            </w:r>
                          </w:p>
                          <w:p w14:paraId="046B70C9" w14:textId="388F489F" w:rsidR="00DB4FB5" w:rsidRDefault="00DB4FB5" w:rsidP="008721E8">
                            <w:pPr>
                              <w:pStyle w:val="ListParagraph"/>
                              <w:numPr>
                                <w:ilvl w:val="0"/>
                                <w:numId w:val="7"/>
                              </w:numPr>
                            </w:pPr>
                            <w:r>
                              <w:t>Monitoring arrangements</w:t>
                            </w:r>
                          </w:p>
                          <w:p w14:paraId="1FB4A8AE" w14:textId="1FEA01A3" w:rsidR="00017895" w:rsidRDefault="00017895" w:rsidP="008721E8">
                            <w:pPr>
                              <w:pStyle w:val="ListParagraph"/>
                              <w:numPr>
                                <w:ilvl w:val="0"/>
                                <w:numId w:val="7"/>
                              </w:numPr>
                            </w:pPr>
                            <w:r>
                              <w:t xml:space="preserve">Monitoring arrangements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10D3C" id="_x0000_t202" coordsize="21600,21600" o:spt="202" path="m,l,21600r21600,l21600,xe">
                <v:stroke joinstyle="miter"/>
                <v:path gradientshapeok="t" o:connecttype="rect"/>
              </v:shapetype>
              <v:shape id="Text Box 2" o:spid="_x0000_s1026" type="#_x0000_t202" style="position:absolute;margin-left:0;margin-top:27pt;width:441.35pt;height:177.1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" stroked="f">
                <v:textbox>
                  <w:txbxContent>
                    <w:p w14:paraId="74E4E7A4" w14:textId="25CC11A4" w:rsidR="008721E8" w:rsidRDefault="008721E8">
                      <w:r>
                        <w:t xml:space="preserve">Contents: </w:t>
                      </w:r>
                    </w:p>
                    <w:p w14:paraId="20CD9998" w14:textId="6063B2EA" w:rsidR="008721E8" w:rsidRDefault="008721E8" w:rsidP="008721E8">
                      <w:pPr>
                        <w:pStyle w:val="ListParagraph"/>
                        <w:numPr>
                          <w:ilvl w:val="0"/>
                          <w:numId w:val="7"/>
                        </w:numPr>
                      </w:pPr>
                      <w:r>
                        <w:t>Aims</w:t>
                      </w:r>
                    </w:p>
                    <w:p w14:paraId="6BD3AE8B" w14:textId="205AF585" w:rsidR="008721E8" w:rsidRDefault="008721E8" w:rsidP="008721E8">
                      <w:pPr>
                        <w:pStyle w:val="ListParagraph"/>
                        <w:numPr>
                          <w:ilvl w:val="0"/>
                          <w:numId w:val="7"/>
                        </w:numPr>
                      </w:pPr>
                      <w:r>
                        <w:t>Our Intent</w:t>
                      </w:r>
                    </w:p>
                    <w:p w14:paraId="5C89A7A9" w14:textId="3220931E" w:rsidR="008721E8" w:rsidRDefault="008721E8" w:rsidP="008721E8">
                      <w:pPr>
                        <w:pStyle w:val="ListParagraph"/>
                        <w:numPr>
                          <w:ilvl w:val="0"/>
                          <w:numId w:val="7"/>
                        </w:numPr>
                      </w:pPr>
                      <w:r>
                        <w:t>Legislation</w:t>
                      </w:r>
                    </w:p>
                    <w:p w14:paraId="26B8C728" w14:textId="1A91CABE" w:rsidR="008721E8" w:rsidRDefault="008721E8" w:rsidP="008721E8">
                      <w:pPr>
                        <w:pStyle w:val="ListParagraph"/>
                        <w:numPr>
                          <w:ilvl w:val="0"/>
                          <w:numId w:val="7"/>
                        </w:numPr>
                      </w:pPr>
                      <w:r>
                        <w:t>Structure of EYFS</w:t>
                      </w:r>
                    </w:p>
                    <w:p w14:paraId="661B9F6E" w14:textId="24BC358E" w:rsidR="008721E8" w:rsidRDefault="008721E8" w:rsidP="008721E8">
                      <w:pPr>
                        <w:pStyle w:val="ListParagraph"/>
                        <w:numPr>
                          <w:ilvl w:val="0"/>
                          <w:numId w:val="7"/>
                        </w:numPr>
                      </w:pPr>
                      <w:r>
                        <w:t>Curriculum</w:t>
                      </w:r>
                    </w:p>
                    <w:p w14:paraId="635F5516" w14:textId="462649A1" w:rsidR="008721E8" w:rsidRDefault="008721E8" w:rsidP="008721E8">
                      <w:pPr>
                        <w:pStyle w:val="ListParagraph"/>
                        <w:numPr>
                          <w:ilvl w:val="0"/>
                          <w:numId w:val="7"/>
                        </w:numPr>
                      </w:pPr>
                      <w:r>
                        <w:t>Assessment</w:t>
                      </w:r>
                    </w:p>
                    <w:p w14:paraId="45E3920F" w14:textId="49F2D247" w:rsidR="008721E8" w:rsidRDefault="008721E8" w:rsidP="008721E8">
                      <w:pPr>
                        <w:pStyle w:val="ListParagraph"/>
                        <w:numPr>
                          <w:ilvl w:val="0"/>
                          <w:numId w:val="7"/>
                        </w:numPr>
                      </w:pPr>
                      <w:r>
                        <w:t>Working with parents</w:t>
                      </w:r>
                    </w:p>
                    <w:p w14:paraId="0379DBB7" w14:textId="15DE18D5" w:rsidR="008721E8" w:rsidRDefault="00017895" w:rsidP="008721E8">
                      <w:pPr>
                        <w:pStyle w:val="ListParagraph"/>
                        <w:numPr>
                          <w:ilvl w:val="0"/>
                          <w:numId w:val="7"/>
                        </w:numPr>
                      </w:pPr>
                      <w:r>
                        <w:t xml:space="preserve">Safeguarding and welfare procedures </w:t>
                      </w:r>
                    </w:p>
                    <w:p w14:paraId="28D2747C" w14:textId="77777777" w:rsidR="00DB4FB5" w:rsidRPr="00DB4FB5" w:rsidRDefault="00DB4FB5" w:rsidP="00DB4FB5">
                      <w:pPr>
                        <w:pStyle w:val="ListParagraph"/>
                        <w:numPr>
                          <w:ilvl w:val="0"/>
                          <w:numId w:val="7"/>
                        </w:numPr>
                      </w:pPr>
                      <w:r w:rsidRPr="00DB4FB5">
                        <w:t>Equal Opportunities, Inclusion and Special Education Needs</w:t>
                      </w:r>
                    </w:p>
                    <w:p w14:paraId="046B70C9" w14:textId="388F489F" w:rsidR="00DB4FB5" w:rsidRDefault="00DB4FB5" w:rsidP="008721E8">
                      <w:pPr>
                        <w:pStyle w:val="ListParagraph"/>
                        <w:numPr>
                          <w:ilvl w:val="0"/>
                          <w:numId w:val="7"/>
                        </w:numPr>
                      </w:pPr>
                      <w:r>
                        <w:t>Monitoring arrangements</w:t>
                      </w:r>
                    </w:p>
                    <w:p w14:paraId="1FB4A8AE" w14:textId="1FEA01A3" w:rsidR="00017895" w:rsidRDefault="00017895" w:rsidP="008721E8">
                      <w:pPr>
                        <w:pStyle w:val="ListParagraph"/>
                        <w:numPr>
                          <w:ilvl w:val="0"/>
                          <w:numId w:val="7"/>
                        </w:numPr>
                      </w:pPr>
                      <w:r>
                        <w:t xml:space="preserve">Monitoring arrangements </w:t>
                      </w:r>
                    </w:p>
                  </w:txbxContent>
                </v:textbox>
                <w10:wrap type="square" anchorx="margin"/>
              </v:shape>
            </w:pict>
          </mc:Fallback>
        </mc:AlternateContent>
      </w:r>
    </w:p>
    <w:p w14:paraId="20971557" w14:textId="2A049978" w:rsidR="008721E8" w:rsidRDefault="008721E8">
      <w:pPr>
        <w:rPr>
          <w:rFonts w:cstheme="minorHAnsi"/>
          <w:b/>
          <w:u w:val="single"/>
        </w:rPr>
      </w:pPr>
    </w:p>
    <w:p w14:paraId="5477C48C" w14:textId="30A12C88" w:rsidR="002D047E" w:rsidRPr="008721E8" w:rsidRDefault="008721E8" w:rsidP="008721E8">
      <w:pPr>
        <w:pStyle w:val="ListParagraph"/>
        <w:numPr>
          <w:ilvl w:val="0"/>
          <w:numId w:val="8"/>
        </w:numPr>
        <w:rPr>
          <w:rFonts w:cstheme="minorHAnsi"/>
          <w:b/>
          <w:u w:val="single"/>
        </w:rPr>
      </w:pPr>
      <w:r w:rsidRPr="008721E8">
        <w:rPr>
          <w:rFonts w:cstheme="minorHAnsi"/>
          <w:b/>
          <w:u w:val="single"/>
        </w:rPr>
        <w:lastRenderedPageBreak/>
        <w:t>Aims</w:t>
      </w:r>
    </w:p>
    <w:p w14:paraId="204B10E6" w14:textId="77777777" w:rsidR="00B0398E" w:rsidRPr="00B0398E" w:rsidRDefault="00B0398E" w:rsidP="00B0398E">
      <w:pPr>
        <w:rPr>
          <w:rFonts w:cstheme="minorHAnsi"/>
        </w:rPr>
      </w:pPr>
      <w:r w:rsidRPr="00B0398E">
        <w:rPr>
          <w:rFonts w:cstheme="minorHAnsi"/>
        </w:rPr>
        <w:t>This policy aims to ensure:</w:t>
      </w:r>
    </w:p>
    <w:p w14:paraId="7AD3FC73" w14:textId="77777777" w:rsidR="00B0398E" w:rsidRPr="00B0398E" w:rsidRDefault="00B0398E" w:rsidP="00B0398E">
      <w:pPr>
        <w:pStyle w:val="Bulletedcopylevel2"/>
        <w:rPr>
          <w:rFonts w:asciiTheme="minorHAnsi" w:hAnsiTheme="minorHAnsi" w:cstheme="minorHAnsi"/>
          <w:sz w:val="22"/>
          <w:szCs w:val="22"/>
        </w:rPr>
      </w:pPr>
      <w:r w:rsidRPr="00B0398E">
        <w:rPr>
          <w:rFonts w:asciiTheme="minorHAnsi" w:hAnsiTheme="minorHAnsi" w:cstheme="minorHAnsi"/>
          <w:sz w:val="22"/>
          <w:szCs w:val="22"/>
        </w:rPr>
        <w:t>That children access a broad and balanced curriculum that gives them the broad range of knowledge and skills needed for good progress through school and life</w:t>
      </w:r>
    </w:p>
    <w:p w14:paraId="3188D11F" w14:textId="00E0762F" w:rsidR="00B0398E" w:rsidRPr="00B0398E" w:rsidRDefault="00B0398E" w:rsidP="00B0398E">
      <w:pPr>
        <w:pStyle w:val="Bulletedcopylevel2"/>
        <w:rPr>
          <w:rFonts w:asciiTheme="minorHAnsi" w:hAnsiTheme="minorHAnsi" w:cstheme="minorHAnsi"/>
          <w:sz w:val="22"/>
          <w:szCs w:val="22"/>
        </w:rPr>
      </w:pPr>
      <w:r w:rsidRPr="00B0398E">
        <w:rPr>
          <w:rFonts w:asciiTheme="minorHAnsi" w:hAnsiTheme="minorHAnsi" w:cstheme="minorHAnsi"/>
          <w:sz w:val="22"/>
          <w:szCs w:val="22"/>
        </w:rPr>
        <w:t xml:space="preserve">Quality and consistency in teaching and learning so that every child makes good </w:t>
      </w:r>
      <w:r w:rsidR="00702795" w:rsidRPr="00B0398E">
        <w:rPr>
          <w:rFonts w:asciiTheme="minorHAnsi" w:hAnsiTheme="minorHAnsi" w:cstheme="minorHAnsi"/>
          <w:sz w:val="22"/>
          <w:szCs w:val="22"/>
        </w:rPr>
        <w:t>progress,</w:t>
      </w:r>
      <w:r w:rsidRPr="00B0398E">
        <w:rPr>
          <w:rFonts w:asciiTheme="minorHAnsi" w:hAnsiTheme="minorHAnsi" w:cstheme="minorHAnsi"/>
          <w:sz w:val="22"/>
          <w:szCs w:val="22"/>
        </w:rPr>
        <w:t xml:space="preserve"> and no child gets left behind</w:t>
      </w:r>
    </w:p>
    <w:p w14:paraId="68CB6A27" w14:textId="77777777" w:rsidR="00B0398E" w:rsidRPr="00B0398E" w:rsidRDefault="00B0398E" w:rsidP="00B0398E">
      <w:pPr>
        <w:pStyle w:val="Bulletedcopylevel2"/>
        <w:rPr>
          <w:rFonts w:asciiTheme="minorHAnsi" w:hAnsiTheme="minorHAnsi" w:cstheme="minorHAnsi"/>
          <w:sz w:val="22"/>
          <w:szCs w:val="22"/>
        </w:rPr>
      </w:pPr>
      <w:r w:rsidRPr="00B0398E">
        <w:rPr>
          <w:rFonts w:asciiTheme="minorHAnsi" w:hAnsiTheme="minorHAnsi" w:cstheme="minorHAnsi"/>
          <w:sz w:val="22"/>
          <w:szCs w:val="22"/>
        </w:rPr>
        <w:t>A close working partnership between staff and parents and/or carers</w:t>
      </w:r>
    </w:p>
    <w:p w14:paraId="5EB4367A" w14:textId="77777777" w:rsidR="00B0398E" w:rsidRPr="00B0398E" w:rsidRDefault="00B0398E" w:rsidP="00B0398E">
      <w:pPr>
        <w:pStyle w:val="Bulletedcopylevel2"/>
        <w:rPr>
          <w:rFonts w:asciiTheme="minorHAnsi" w:hAnsiTheme="minorHAnsi" w:cstheme="minorHAnsi"/>
          <w:sz w:val="22"/>
          <w:szCs w:val="22"/>
        </w:rPr>
      </w:pPr>
      <w:r w:rsidRPr="00B0398E">
        <w:rPr>
          <w:rFonts w:asciiTheme="minorHAnsi" w:hAnsiTheme="minorHAnsi" w:cstheme="minorHAnsi"/>
          <w:sz w:val="22"/>
          <w:szCs w:val="22"/>
        </w:rPr>
        <w:t>Every child is included and supported through equality of opportunity and anti-discriminatory practice</w:t>
      </w:r>
    </w:p>
    <w:p w14:paraId="33BF9C0F" w14:textId="58D2ADC2" w:rsidR="0066040A" w:rsidRDefault="0066040A">
      <w:pPr>
        <w:rPr>
          <w:rFonts w:cstheme="minorHAnsi"/>
        </w:rPr>
      </w:pPr>
    </w:p>
    <w:p w14:paraId="2560E22A" w14:textId="20C15DA1" w:rsidR="0066040A" w:rsidRPr="008721E8" w:rsidRDefault="0066040A" w:rsidP="008721E8">
      <w:pPr>
        <w:pStyle w:val="ListParagraph"/>
        <w:numPr>
          <w:ilvl w:val="0"/>
          <w:numId w:val="8"/>
        </w:numPr>
        <w:rPr>
          <w:rFonts w:cstheme="minorHAnsi"/>
          <w:b/>
          <w:bCs/>
          <w:u w:val="single"/>
        </w:rPr>
      </w:pPr>
      <w:r w:rsidRPr="008721E8">
        <w:rPr>
          <w:rFonts w:cstheme="minorHAnsi"/>
          <w:b/>
          <w:bCs/>
          <w:u w:val="single"/>
        </w:rPr>
        <w:t>Our Intent</w:t>
      </w:r>
    </w:p>
    <w:p w14:paraId="754B3F6E" w14:textId="5C22863E" w:rsidR="0066040A" w:rsidRDefault="00310EA3" w:rsidP="00B0398E">
      <w:pPr>
        <w:spacing w:line="276" w:lineRule="auto"/>
        <w:rPr>
          <w:rFonts w:cstheme="minorHAnsi"/>
        </w:rPr>
      </w:pPr>
      <w:r w:rsidRPr="00310EA3">
        <w:rPr>
          <w:rFonts w:cstheme="minorHAnsi"/>
        </w:rPr>
        <w:t xml:space="preserve">At </w:t>
      </w:r>
      <w:r>
        <w:rPr>
          <w:rFonts w:cstheme="minorHAnsi"/>
        </w:rPr>
        <w:t>Willowbrook Mead Primary Academy</w:t>
      </w:r>
      <w:r w:rsidRPr="00310EA3">
        <w:rPr>
          <w:rFonts w:cstheme="minorHAnsi"/>
        </w:rPr>
        <w:t>, we greatly value the importance of the early years foundation stage (EYFS) in providing a secure foundation for future learning and development.</w:t>
      </w:r>
      <w:r>
        <w:rPr>
          <w:rFonts w:cstheme="minorHAnsi"/>
        </w:rPr>
        <w:t xml:space="preserve"> We strive for the children to become independent learners</w:t>
      </w:r>
      <w:r w:rsidR="00B0398E">
        <w:rPr>
          <w:rFonts w:cstheme="minorHAnsi"/>
        </w:rPr>
        <w:t>,</w:t>
      </w:r>
      <w:r>
        <w:rPr>
          <w:rFonts w:cstheme="minorHAnsi"/>
        </w:rPr>
        <w:t xml:space="preserve"> whilst building on</w:t>
      </w:r>
      <w:r w:rsidR="00B0398E">
        <w:rPr>
          <w:rFonts w:cstheme="minorHAnsi"/>
        </w:rPr>
        <w:t xml:space="preserve"> their</w:t>
      </w:r>
      <w:r>
        <w:rPr>
          <w:rFonts w:cstheme="minorHAnsi"/>
        </w:rPr>
        <w:t xml:space="preserve"> communication and language</w:t>
      </w:r>
      <w:r w:rsidR="00B0398E">
        <w:rPr>
          <w:rFonts w:cstheme="minorHAnsi"/>
        </w:rPr>
        <w:t>.</w:t>
      </w:r>
      <w:r>
        <w:rPr>
          <w:rFonts w:cstheme="minorHAnsi"/>
        </w:rPr>
        <w:t xml:space="preserve"> </w:t>
      </w:r>
      <w:r w:rsidR="00B0398E">
        <w:rPr>
          <w:rFonts w:cstheme="minorHAnsi"/>
        </w:rPr>
        <w:t xml:space="preserve">All staff </w:t>
      </w:r>
      <w:r>
        <w:rPr>
          <w:rFonts w:cstheme="minorHAnsi"/>
        </w:rPr>
        <w:t>hav</w:t>
      </w:r>
      <w:r w:rsidR="00B0398E">
        <w:rPr>
          <w:rFonts w:cstheme="minorHAnsi"/>
        </w:rPr>
        <w:t>e</w:t>
      </w:r>
      <w:r>
        <w:rPr>
          <w:rFonts w:cstheme="minorHAnsi"/>
        </w:rPr>
        <w:t xml:space="preserve"> high expectations </w:t>
      </w:r>
      <w:r w:rsidR="00B0398E">
        <w:rPr>
          <w:rFonts w:cstheme="minorHAnsi"/>
        </w:rPr>
        <w:t xml:space="preserve">of all children, including SEND and disadvantaged. Our provision allows the children to make independent choices in their learning and </w:t>
      </w:r>
      <w:r w:rsidR="00615FB2">
        <w:rPr>
          <w:rFonts w:cstheme="minorHAnsi"/>
        </w:rPr>
        <w:t xml:space="preserve">develop their self-regulation skills. </w:t>
      </w:r>
    </w:p>
    <w:p w14:paraId="3384E073" w14:textId="3DB93723" w:rsidR="008721E8" w:rsidRPr="008721E8" w:rsidRDefault="008721E8" w:rsidP="00B0398E">
      <w:pPr>
        <w:spacing w:line="276" w:lineRule="auto"/>
        <w:rPr>
          <w:rFonts w:cstheme="minorHAnsi"/>
          <w:sz w:val="24"/>
          <w:lang w:eastAsia="en-GB"/>
        </w:rPr>
      </w:pPr>
      <w:r w:rsidRPr="00590D9D">
        <w:rPr>
          <w:rFonts w:cstheme="minorHAnsi"/>
          <w:szCs w:val="20"/>
          <w:bdr w:val="none" w:sz="0" w:space="0" w:color="auto" w:frame="1"/>
          <w:lang w:eastAsia="en-GB"/>
        </w:rPr>
        <w:t xml:space="preserve">Here at Willowbrook </w:t>
      </w:r>
      <w:r>
        <w:rPr>
          <w:rFonts w:cstheme="minorHAnsi"/>
          <w:szCs w:val="20"/>
          <w:bdr w:val="none" w:sz="0" w:space="0" w:color="auto" w:frame="1"/>
          <w:lang w:eastAsia="en-GB"/>
        </w:rPr>
        <w:t xml:space="preserve">Mead, </w:t>
      </w:r>
      <w:r w:rsidRPr="00590D9D">
        <w:rPr>
          <w:rFonts w:cstheme="minorHAnsi"/>
          <w:szCs w:val="20"/>
          <w:bdr w:val="none" w:sz="0" w:space="0" w:color="auto" w:frame="1"/>
          <w:lang w:eastAsia="en-GB"/>
        </w:rPr>
        <w:t>we believe that childhood is a time of play, and through play we discover the excitement of learning, the rewards of achievement and acquire our life skills. The early years setting</w:t>
      </w:r>
      <w:r>
        <w:rPr>
          <w:rFonts w:cstheme="minorHAnsi"/>
          <w:szCs w:val="20"/>
          <w:bdr w:val="none" w:sz="0" w:space="0" w:color="auto" w:frame="1"/>
          <w:lang w:eastAsia="en-GB"/>
        </w:rPr>
        <w:t xml:space="preserve"> </w:t>
      </w:r>
      <w:r w:rsidRPr="00590D9D">
        <w:rPr>
          <w:rFonts w:cstheme="minorHAnsi"/>
          <w:szCs w:val="20"/>
          <w:bdr w:val="none" w:sz="0" w:space="0" w:color="auto" w:frame="1"/>
          <w:lang w:eastAsia="en-GB"/>
        </w:rPr>
        <w:t>encourages the children in the development of skills, attitudes and understanding that will help them to live full and satisfying lives and become confident, useful, active members of a diverse and constantly changing society.</w:t>
      </w:r>
    </w:p>
    <w:p w14:paraId="31DBD05B" w14:textId="58D502C8" w:rsidR="00615FB2" w:rsidRDefault="00615FB2" w:rsidP="00B0398E">
      <w:pPr>
        <w:spacing w:line="276" w:lineRule="auto"/>
        <w:rPr>
          <w:rFonts w:cstheme="minorHAnsi"/>
        </w:rPr>
      </w:pPr>
    </w:p>
    <w:p w14:paraId="7ED896AF" w14:textId="54AFF470" w:rsidR="00615FB2" w:rsidRPr="008721E8" w:rsidRDefault="00615FB2" w:rsidP="008721E8">
      <w:pPr>
        <w:pStyle w:val="ListParagraph"/>
        <w:numPr>
          <w:ilvl w:val="0"/>
          <w:numId w:val="8"/>
        </w:numPr>
        <w:spacing w:line="276" w:lineRule="auto"/>
        <w:rPr>
          <w:rFonts w:cstheme="minorHAnsi"/>
          <w:b/>
          <w:bCs/>
          <w:u w:val="single"/>
        </w:rPr>
      </w:pPr>
      <w:r w:rsidRPr="008721E8">
        <w:rPr>
          <w:rFonts w:cstheme="minorHAnsi"/>
          <w:b/>
          <w:bCs/>
          <w:u w:val="single"/>
        </w:rPr>
        <w:t xml:space="preserve">Legislation </w:t>
      </w:r>
    </w:p>
    <w:p w14:paraId="025D0944" w14:textId="78405E1C" w:rsidR="00615FB2" w:rsidRPr="00615FB2" w:rsidRDefault="00615FB2" w:rsidP="00615FB2">
      <w:r w:rsidRPr="00E34851">
        <w:t xml:space="preserve">This policy is based on requirements set out in the </w:t>
      </w:r>
      <w:hyperlink r:id="rId11" w:history="1">
        <w:r w:rsidRPr="00515A18">
          <w:rPr>
            <w:rStyle w:val="Hyperlink"/>
          </w:rPr>
          <w:t>2021 statutory framework for the Early Years Foundation Stage (EYFS)</w:t>
        </w:r>
      </w:hyperlink>
      <w:r>
        <w:t>.</w:t>
      </w:r>
    </w:p>
    <w:p w14:paraId="79977F4D" w14:textId="77777777" w:rsidR="002D047E" w:rsidRPr="00590D9D" w:rsidRDefault="002D047E">
      <w:pPr>
        <w:rPr>
          <w:rFonts w:cstheme="minorHAnsi"/>
        </w:rPr>
      </w:pPr>
    </w:p>
    <w:p w14:paraId="0E90F758" w14:textId="6246B843" w:rsidR="00F57AC9" w:rsidRPr="008721E8" w:rsidRDefault="00EC0F38" w:rsidP="008721E8">
      <w:pPr>
        <w:pStyle w:val="ListParagraph"/>
        <w:numPr>
          <w:ilvl w:val="0"/>
          <w:numId w:val="8"/>
        </w:numPr>
        <w:rPr>
          <w:rFonts w:cstheme="minorHAnsi"/>
          <w:b/>
          <w:u w:val="single"/>
        </w:rPr>
      </w:pPr>
      <w:r w:rsidRPr="008721E8">
        <w:rPr>
          <w:rFonts w:cstheme="minorHAnsi"/>
          <w:b/>
          <w:u w:val="single"/>
        </w:rPr>
        <w:t>Structure of EYFS</w:t>
      </w:r>
    </w:p>
    <w:p w14:paraId="2AD03645" w14:textId="14B6010F" w:rsidR="00E0287F" w:rsidRPr="001F7F74" w:rsidRDefault="001F7F74">
      <w:pPr>
        <w:rPr>
          <w:rFonts w:cstheme="minorHAnsi"/>
          <w:u w:val="single"/>
        </w:rPr>
      </w:pPr>
      <w:r w:rsidRPr="001F7F74">
        <w:rPr>
          <w:rFonts w:cstheme="minorHAnsi"/>
          <w:u w:val="single"/>
        </w:rPr>
        <w:t>4.1 classes</w:t>
      </w:r>
      <w:r>
        <w:rPr>
          <w:rFonts w:cstheme="minorHAnsi"/>
          <w:u w:val="single"/>
        </w:rPr>
        <w:t xml:space="preserve"> </w:t>
      </w:r>
      <w:r>
        <w:rPr>
          <w:rFonts w:cstheme="minorHAnsi"/>
          <w:u w:val="single"/>
        </w:rPr>
        <w:br/>
      </w:r>
      <w:r w:rsidR="002D047E" w:rsidRPr="00590D9D">
        <w:rPr>
          <w:rFonts w:cstheme="minorHAnsi"/>
        </w:rPr>
        <w:t xml:space="preserve">The </w:t>
      </w:r>
      <w:r w:rsidR="00702795">
        <w:rPr>
          <w:rFonts w:cstheme="minorHAnsi"/>
        </w:rPr>
        <w:t>EYFS base</w:t>
      </w:r>
      <w:r w:rsidR="002D047E" w:rsidRPr="00590D9D">
        <w:rPr>
          <w:rFonts w:cstheme="minorHAnsi"/>
        </w:rPr>
        <w:t xml:space="preserve"> at Willowbrook Primary Academy consists of our Nursery and 2 Reception classes. The nursery intake has a maximum capacity of </w:t>
      </w:r>
      <w:r w:rsidR="00633D98">
        <w:rPr>
          <w:rFonts w:cstheme="minorHAnsi"/>
        </w:rPr>
        <w:t>26 children in a morning nursery session</w:t>
      </w:r>
      <w:r w:rsidR="00877DB9">
        <w:rPr>
          <w:rFonts w:cstheme="minorHAnsi"/>
        </w:rPr>
        <w:t>. T</w:t>
      </w:r>
      <w:r w:rsidR="002D047E" w:rsidRPr="00590D9D">
        <w:rPr>
          <w:rFonts w:cstheme="minorHAnsi"/>
        </w:rPr>
        <w:t>he reception unit has an intake of 60 children per year, which are organised into two classes each taking up to 30 children. Many children entering Willowbrook Primary Academy have attended our nursery</w:t>
      </w:r>
      <w:r w:rsidR="001E7CD0">
        <w:rPr>
          <w:rFonts w:cstheme="minorHAnsi"/>
        </w:rPr>
        <w:t>.</w:t>
      </w:r>
    </w:p>
    <w:p w14:paraId="10BEB85B" w14:textId="316FA7EE" w:rsidR="00E0287F" w:rsidRDefault="00702795">
      <w:pPr>
        <w:rPr>
          <w:rFonts w:cstheme="minorHAnsi"/>
        </w:rPr>
      </w:pPr>
      <w:r>
        <w:rPr>
          <w:rFonts w:cstheme="minorHAnsi"/>
        </w:rPr>
        <w:t>EYFS staff</w:t>
      </w:r>
      <w:r w:rsidR="008F65DB">
        <w:rPr>
          <w:rFonts w:cstheme="minorHAnsi"/>
        </w:rPr>
        <w:t>,</w:t>
      </w:r>
      <w:r w:rsidR="00E0287F" w:rsidRPr="00590D9D">
        <w:rPr>
          <w:rFonts w:cstheme="minorHAnsi"/>
        </w:rPr>
        <w:t xml:space="preserve"> from all providers</w:t>
      </w:r>
      <w:r w:rsidR="008F65DB">
        <w:rPr>
          <w:rFonts w:cstheme="minorHAnsi"/>
        </w:rPr>
        <w:t>,</w:t>
      </w:r>
      <w:r w:rsidR="00E0287F" w:rsidRPr="00590D9D">
        <w:rPr>
          <w:rFonts w:cstheme="minorHAnsi"/>
        </w:rPr>
        <w:t xml:space="preserve"> work hard to maintain strong links and to create a smooth transition between settings.</w:t>
      </w:r>
    </w:p>
    <w:p w14:paraId="791C7EC8" w14:textId="4CBC5244" w:rsidR="0066040A" w:rsidRDefault="001F7F74">
      <w:pPr>
        <w:rPr>
          <w:rFonts w:cstheme="minorHAnsi"/>
        </w:rPr>
      </w:pPr>
      <w:r>
        <w:rPr>
          <w:rFonts w:cstheme="minorHAnsi"/>
          <w:u w:val="single"/>
        </w:rPr>
        <w:t xml:space="preserve">4.2 </w:t>
      </w:r>
      <w:r w:rsidR="00EF3DEC" w:rsidRPr="00EF3DEC">
        <w:rPr>
          <w:rFonts w:cstheme="minorHAnsi"/>
          <w:u w:val="single"/>
        </w:rPr>
        <w:t>Admissions</w:t>
      </w:r>
      <w:r w:rsidR="001F0264">
        <w:rPr>
          <w:rFonts w:cstheme="minorHAnsi"/>
          <w:u w:val="single"/>
        </w:rPr>
        <w:br/>
      </w:r>
      <w:r w:rsidR="00E0287F" w:rsidRPr="00590D9D">
        <w:rPr>
          <w:rFonts w:cstheme="minorHAnsi"/>
        </w:rPr>
        <w:t>Once parents/carers have been offered and accept</w:t>
      </w:r>
      <w:r w:rsidR="009834C6">
        <w:rPr>
          <w:rFonts w:cstheme="minorHAnsi"/>
        </w:rPr>
        <w:t>ed</w:t>
      </w:r>
      <w:r w:rsidR="00E0287F" w:rsidRPr="00590D9D">
        <w:rPr>
          <w:rFonts w:cstheme="minorHAnsi"/>
        </w:rPr>
        <w:t xml:space="preserve"> a place</w:t>
      </w:r>
      <w:r w:rsidR="009834C6">
        <w:rPr>
          <w:rFonts w:cstheme="minorHAnsi"/>
        </w:rPr>
        <w:t xml:space="preserve"> at Willowbrook Mead</w:t>
      </w:r>
      <w:r w:rsidR="00E0287F" w:rsidRPr="00590D9D">
        <w:rPr>
          <w:rFonts w:cstheme="minorHAnsi"/>
        </w:rPr>
        <w:t xml:space="preserve">, they will be </w:t>
      </w:r>
      <w:r w:rsidR="00E0287F" w:rsidRPr="00590D9D">
        <w:rPr>
          <w:rFonts w:cstheme="minorHAnsi"/>
        </w:rPr>
        <w:lastRenderedPageBreak/>
        <w:t>provided with a Welcome Pack and invited to attend induction meetings and events. These induction events are crucial in helping us to understand each child and their talents and needs.</w:t>
      </w:r>
      <w:r w:rsidR="00EF3DEC">
        <w:rPr>
          <w:rFonts w:cstheme="minorHAnsi"/>
        </w:rPr>
        <w:t xml:space="preserve"> </w:t>
      </w:r>
    </w:p>
    <w:p w14:paraId="6FACDB22" w14:textId="77777777" w:rsidR="00D44C2B" w:rsidRPr="001F0264" w:rsidRDefault="00D44C2B">
      <w:pPr>
        <w:rPr>
          <w:rFonts w:cstheme="minorHAnsi"/>
          <w:u w:val="single"/>
        </w:rPr>
      </w:pPr>
    </w:p>
    <w:p w14:paraId="573D5809" w14:textId="043FB0C6" w:rsidR="00E0287F" w:rsidRDefault="00D44C2B" w:rsidP="00D44C2B">
      <w:pPr>
        <w:pStyle w:val="ListParagraph"/>
        <w:numPr>
          <w:ilvl w:val="0"/>
          <w:numId w:val="8"/>
        </w:numPr>
        <w:rPr>
          <w:rFonts w:cstheme="minorHAnsi"/>
          <w:b/>
          <w:bCs/>
        </w:rPr>
      </w:pPr>
      <w:r w:rsidRPr="00D44C2B">
        <w:rPr>
          <w:rFonts w:cstheme="minorHAnsi"/>
          <w:b/>
          <w:bCs/>
        </w:rPr>
        <w:t>Curriculum</w:t>
      </w:r>
    </w:p>
    <w:p w14:paraId="5D8EB87F" w14:textId="77777777" w:rsidR="00CF3C66" w:rsidRPr="003D0BB3" w:rsidRDefault="00CF3C66" w:rsidP="00CF3C66">
      <w:r w:rsidRPr="003D0BB3">
        <w:t>Our early years setting follows the curriculum as outli</w:t>
      </w:r>
      <w:r>
        <w:t>ned in the 2021 EYFS statutory framework.</w:t>
      </w:r>
    </w:p>
    <w:p w14:paraId="4748B914" w14:textId="77777777" w:rsidR="00CF3C66" w:rsidRPr="003D0BB3" w:rsidRDefault="00CF3C66" w:rsidP="00CF3C66">
      <w:r w:rsidRPr="003D0BB3">
        <w:t>The EYFS framework includes 7 areas of learning and development that are equally important and inter-connected</w:t>
      </w:r>
      <w:r>
        <w:t>. However,</w:t>
      </w:r>
      <w:r w:rsidRPr="003D0BB3">
        <w:t xml:space="preserve"> </w:t>
      </w:r>
      <w:r>
        <w:t xml:space="preserve">3 areas </w:t>
      </w:r>
      <w:r w:rsidRPr="003D0BB3">
        <w:t xml:space="preserve">known as the prime areas are seen as particularly important for igniting curiosity and enthusiasm for learning, and for building children’s capacity to learn, form relationships and thrive. </w:t>
      </w:r>
    </w:p>
    <w:p w14:paraId="4BF0FF0B" w14:textId="77777777" w:rsidR="00CF3C66" w:rsidRPr="003D0BB3" w:rsidRDefault="00CF3C66" w:rsidP="00CF3C66">
      <w:r w:rsidRPr="003D0BB3">
        <w:t>The prime areas are:</w:t>
      </w:r>
    </w:p>
    <w:p w14:paraId="77752D79" w14:textId="77777777" w:rsidR="00CF3C66" w:rsidRPr="001E7CD0" w:rsidRDefault="00CF3C66" w:rsidP="00CF3C66">
      <w:pPr>
        <w:pStyle w:val="Bulletedcopylevel2"/>
        <w:rPr>
          <w:rFonts w:asciiTheme="minorHAnsi" w:hAnsiTheme="minorHAnsi" w:cstheme="minorHAnsi"/>
          <w:sz w:val="22"/>
          <w:szCs w:val="28"/>
        </w:rPr>
      </w:pPr>
      <w:r w:rsidRPr="001E7CD0">
        <w:rPr>
          <w:rFonts w:asciiTheme="minorHAnsi" w:hAnsiTheme="minorHAnsi" w:cstheme="minorHAnsi"/>
          <w:sz w:val="22"/>
          <w:szCs w:val="28"/>
        </w:rPr>
        <w:t>Communication and language</w:t>
      </w:r>
    </w:p>
    <w:p w14:paraId="655E6B0C" w14:textId="77777777" w:rsidR="00CF3C66" w:rsidRPr="001E7CD0" w:rsidRDefault="00CF3C66" w:rsidP="00CF3C66">
      <w:pPr>
        <w:pStyle w:val="Bulletedcopylevel2"/>
        <w:rPr>
          <w:rFonts w:asciiTheme="minorHAnsi" w:hAnsiTheme="minorHAnsi" w:cstheme="minorHAnsi"/>
          <w:sz w:val="22"/>
          <w:szCs w:val="28"/>
        </w:rPr>
      </w:pPr>
      <w:r w:rsidRPr="001E7CD0">
        <w:rPr>
          <w:rFonts w:asciiTheme="minorHAnsi" w:hAnsiTheme="minorHAnsi" w:cstheme="minorHAnsi"/>
          <w:sz w:val="22"/>
          <w:szCs w:val="28"/>
        </w:rPr>
        <w:t>Physical development</w:t>
      </w:r>
    </w:p>
    <w:p w14:paraId="41649693" w14:textId="13B1DB74" w:rsidR="00CF3C66" w:rsidRPr="001E7CD0" w:rsidRDefault="00CF3C66" w:rsidP="00CF3C66">
      <w:pPr>
        <w:pStyle w:val="Bulletedcopylevel2"/>
        <w:rPr>
          <w:rFonts w:asciiTheme="minorHAnsi" w:hAnsiTheme="minorHAnsi" w:cstheme="minorHAnsi"/>
          <w:sz w:val="22"/>
          <w:szCs w:val="28"/>
        </w:rPr>
      </w:pPr>
      <w:r w:rsidRPr="001E7CD0">
        <w:rPr>
          <w:rFonts w:asciiTheme="minorHAnsi" w:hAnsiTheme="minorHAnsi" w:cstheme="minorHAnsi"/>
          <w:sz w:val="22"/>
          <w:szCs w:val="28"/>
        </w:rPr>
        <w:t xml:space="preserve">Personal, social and emotional development </w:t>
      </w:r>
    </w:p>
    <w:p w14:paraId="4AF14FF5" w14:textId="77777777" w:rsidR="00CF3C66" w:rsidRPr="003D0BB3" w:rsidRDefault="00CF3C66" w:rsidP="00CF3C66">
      <w:r>
        <w:t xml:space="preserve">The </w:t>
      </w:r>
      <w:r w:rsidRPr="003D0BB3">
        <w:t>prime areas are strengthened and applied through 4 specific areas:</w:t>
      </w:r>
    </w:p>
    <w:p w14:paraId="26953994" w14:textId="77777777" w:rsidR="00CF3C66" w:rsidRPr="001E7CD0" w:rsidRDefault="00CF3C66" w:rsidP="00CF3C66">
      <w:pPr>
        <w:pStyle w:val="Bulletedcopylevel2"/>
        <w:rPr>
          <w:rFonts w:asciiTheme="minorHAnsi" w:hAnsiTheme="minorHAnsi" w:cstheme="minorHAnsi"/>
          <w:sz w:val="22"/>
          <w:szCs w:val="28"/>
        </w:rPr>
      </w:pPr>
      <w:r w:rsidRPr="001E7CD0">
        <w:rPr>
          <w:rFonts w:asciiTheme="minorHAnsi" w:hAnsiTheme="minorHAnsi" w:cstheme="minorHAnsi"/>
          <w:sz w:val="22"/>
          <w:szCs w:val="28"/>
        </w:rPr>
        <w:t>Literacy</w:t>
      </w:r>
    </w:p>
    <w:p w14:paraId="45CEB8DC" w14:textId="77777777" w:rsidR="00CF3C66" w:rsidRPr="001E7CD0" w:rsidRDefault="00CF3C66" w:rsidP="00CF3C66">
      <w:pPr>
        <w:pStyle w:val="Bulletedcopylevel2"/>
        <w:rPr>
          <w:rFonts w:asciiTheme="minorHAnsi" w:hAnsiTheme="minorHAnsi" w:cstheme="minorHAnsi"/>
          <w:sz w:val="22"/>
          <w:szCs w:val="28"/>
        </w:rPr>
      </w:pPr>
      <w:r w:rsidRPr="001E7CD0">
        <w:rPr>
          <w:rFonts w:asciiTheme="minorHAnsi" w:hAnsiTheme="minorHAnsi" w:cstheme="minorHAnsi"/>
          <w:sz w:val="22"/>
          <w:szCs w:val="28"/>
        </w:rPr>
        <w:t>Mathematics</w:t>
      </w:r>
    </w:p>
    <w:p w14:paraId="26969E73" w14:textId="77777777" w:rsidR="00CF3C66" w:rsidRPr="001E7CD0" w:rsidRDefault="00CF3C66" w:rsidP="00CF3C66">
      <w:pPr>
        <w:pStyle w:val="Bulletedcopylevel2"/>
        <w:rPr>
          <w:rFonts w:asciiTheme="minorHAnsi" w:hAnsiTheme="minorHAnsi" w:cstheme="minorHAnsi"/>
          <w:sz w:val="22"/>
          <w:szCs w:val="28"/>
        </w:rPr>
      </w:pPr>
      <w:r w:rsidRPr="001E7CD0">
        <w:rPr>
          <w:rFonts w:asciiTheme="minorHAnsi" w:hAnsiTheme="minorHAnsi" w:cstheme="minorHAnsi"/>
          <w:sz w:val="22"/>
          <w:szCs w:val="28"/>
        </w:rPr>
        <w:t>Understanding the world</w:t>
      </w:r>
    </w:p>
    <w:p w14:paraId="7B496309" w14:textId="37E0AB15" w:rsidR="00CF3C66" w:rsidRPr="001E7CD0" w:rsidRDefault="00CF3C66" w:rsidP="00CF3C66">
      <w:pPr>
        <w:pStyle w:val="Bulletedcopylevel2"/>
        <w:rPr>
          <w:rFonts w:asciiTheme="minorHAnsi" w:hAnsiTheme="minorHAnsi" w:cstheme="minorHAnsi"/>
          <w:sz w:val="22"/>
          <w:szCs w:val="28"/>
        </w:rPr>
      </w:pPr>
      <w:r w:rsidRPr="001E7CD0">
        <w:rPr>
          <w:rFonts w:asciiTheme="minorHAnsi" w:hAnsiTheme="minorHAnsi" w:cstheme="minorHAnsi"/>
          <w:sz w:val="22"/>
          <w:szCs w:val="28"/>
        </w:rPr>
        <w:t>Expressive arts and design</w:t>
      </w:r>
    </w:p>
    <w:p w14:paraId="4110054B" w14:textId="77777777" w:rsidR="0039590F" w:rsidRDefault="0039590F" w:rsidP="0039590F">
      <w:pPr>
        <w:pStyle w:val="Bulletedcopylevel2"/>
        <w:numPr>
          <w:ilvl w:val="0"/>
          <w:numId w:val="0"/>
        </w:numPr>
        <w:ind w:left="907"/>
      </w:pPr>
    </w:p>
    <w:p w14:paraId="1A6D5E65" w14:textId="7F53408F" w:rsidR="00CF3C66" w:rsidRPr="0039590F" w:rsidRDefault="0039590F" w:rsidP="00CF3C66">
      <w:pPr>
        <w:rPr>
          <w:rFonts w:cstheme="minorHAnsi"/>
          <w:u w:val="single"/>
        </w:rPr>
      </w:pPr>
      <w:r w:rsidRPr="0039590F">
        <w:rPr>
          <w:rFonts w:cstheme="minorHAnsi"/>
          <w:u w:val="single"/>
        </w:rPr>
        <w:t>5.1 Planning</w:t>
      </w:r>
    </w:p>
    <w:p w14:paraId="3C951B9B" w14:textId="42EE00BE" w:rsidR="00110081" w:rsidRPr="00110081" w:rsidRDefault="00110081" w:rsidP="00110081">
      <w:pPr>
        <w:rPr>
          <w:rFonts w:cstheme="minorHAnsi"/>
          <w:color w:val="000000" w:themeColor="text1"/>
          <w:sz w:val="24"/>
          <w:lang w:eastAsia="en-GB"/>
        </w:rPr>
      </w:pPr>
      <w:r w:rsidRPr="00110081">
        <w:rPr>
          <w:rFonts w:cstheme="minorHAnsi"/>
          <w:color w:val="000000" w:themeColor="text1"/>
          <w:szCs w:val="20"/>
          <w:bdr w:val="none" w:sz="0" w:space="0" w:color="auto" w:frame="1"/>
          <w:lang w:eastAsia="en-GB"/>
        </w:rPr>
        <w:t>The EYFS underlines the importance of play, both indoors and outdoors. Well planned play is key</w:t>
      </w:r>
      <w:r>
        <w:rPr>
          <w:rFonts w:cstheme="minorHAnsi"/>
          <w:color w:val="000000" w:themeColor="text1"/>
          <w:szCs w:val="20"/>
          <w:bdr w:val="none" w:sz="0" w:space="0" w:color="auto" w:frame="1"/>
          <w:lang w:eastAsia="en-GB"/>
        </w:rPr>
        <w:t xml:space="preserve"> </w:t>
      </w:r>
      <w:r w:rsidRPr="00110081">
        <w:rPr>
          <w:rFonts w:cstheme="minorHAnsi"/>
          <w:color w:val="000000" w:themeColor="text1"/>
          <w:szCs w:val="20"/>
          <w:bdr w:val="none" w:sz="0" w:space="0" w:color="auto" w:frame="1"/>
          <w:lang w:eastAsia="en-GB"/>
        </w:rPr>
        <w:t>in children</w:t>
      </w:r>
      <w:r>
        <w:rPr>
          <w:rFonts w:cstheme="minorHAnsi"/>
          <w:color w:val="000000" w:themeColor="text1"/>
          <w:szCs w:val="20"/>
          <w:bdr w:val="none" w:sz="0" w:space="0" w:color="auto" w:frame="1"/>
          <w:lang w:eastAsia="en-GB"/>
        </w:rPr>
        <w:t>’s</w:t>
      </w:r>
      <w:r w:rsidRPr="00110081">
        <w:rPr>
          <w:rFonts w:cstheme="minorHAnsi"/>
          <w:color w:val="000000" w:themeColor="text1"/>
          <w:szCs w:val="20"/>
          <w:bdr w:val="none" w:sz="0" w:space="0" w:color="auto" w:frame="1"/>
          <w:lang w:eastAsia="en-GB"/>
        </w:rPr>
        <w:t xml:space="preserve"> learn</w:t>
      </w:r>
      <w:r>
        <w:rPr>
          <w:rFonts w:cstheme="minorHAnsi"/>
          <w:color w:val="000000" w:themeColor="text1"/>
          <w:szCs w:val="20"/>
          <w:bdr w:val="none" w:sz="0" w:space="0" w:color="auto" w:frame="1"/>
          <w:lang w:eastAsia="en-GB"/>
        </w:rPr>
        <w:t>ing</w:t>
      </w:r>
      <w:r w:rsidRPr="00110081">
        <w:rPr>
          <w:rFonts w:cstheme="minorHAnsi"/>
          <w:color w:val="000000" w:themeColor="text1"/>
          <w:szCs w:val="20"/>
          <w:bdr w:val="none" w:sz="0" w:space="0" w:color="auto" w:frame="1"/>
          <w:lang w:eastAsia="en-GB"/>
        </w:rPr>
        <w:t xml:space="preserve"> with enjoyment and challenge</w:t>
      </w:r>
      <w:r>
        <w:rPr>
          <w:rFonts w:cstheme="minorHAnsi"/>
          <w:color w:val="000000" w:themeColor="text1"/>
          <w:szCs w:val="20"/>
          <w:bdr w:val="none" w:sz="0" w:space="0" w:color="auto" w:frame="1"/>
          <w:lang w:eastAsia="en-GB"/>
        </w:rPr>
        <w:t>.</w:t>
      </w:r>
      <w:r w:rsidRPr="00110081">
        <w:rPr>
          <w:rFonts w:cstheme="minorHAnsi"/>
          <w:color w:val="000000" w:themeColor="text1"/>
          <w:szCs w:val="20"/>
          <w:bdr w:val="none" w:sz="0" w:space="0" w:color="auto" w:frame="1"/>
          <w:lang w:eastAsia="en-GB"/>
        </w:rPr>
        <w:t xml:space="preserve"> </w:t>
      </w:r>
      <w:r>
        <w:rPr>
          <w:rFonts w:cstheme="minorHAnsi"/>
          <w:color w:val="000000" w:themeColor="text1"/>
          <w:szCs w:val="20"/>
          <w:bdr w:val="none" w:sz="0" w:space="0" w:color="auto" w:frame="1"/>
          <w:lang w:eastAsia="en-GB"/>
        </w:rPr>
        <w:t>It</w:t>
      </w:r>
      <w:r w:rsidRPr="00110081">
        <w:rPr>
          <w:rFonts w:cstheme="minorHAnsi"/>
          <w:color w:val="000000" w:themeColor="text1"/>
          <w:szCs w:val="20"/>
          <w:bdr w:val="none" w:sz="0" w:space="0" w:color="auto" w:frame="1"/>
          <w:lang w:eastAsia="en-GB"/>
        </w:rPr>
        <w:t xml:space="preserve"> helps them to explore ideas, roles and relationships whilst displaying different behaviours and skills.</w:t>
      </w:r>
    </w:p>
    <w:p w14:paraId="3F50D224" w14:textId="3F9F44B4" w:rsidR="00110081" w:rsidRPr="00110081" w:rsidRDefault="00110081" w:rsidP="00110081">
      <w:pPr>
        <w:rPr>
          <w:rFonts w:cstheme="minorHAnsi"/>
          <w:color w:val="000000" w:themeColor="text1"/>
          <w:sz w:val="24"/>
          <w:lang w:eastAsia="en-GB"/>
        </w:rPr>
      </w:pPr>
      <w:r w:rsidRPr="00110081">
        <w:rPr>
          <w:rFonts w:cstheme="minorHAnsi"/>
          <w:color w:val="000000" w:themeColor="text1"/>
          <w:szCs w:val="20"/>
          <w:bdr w:val="none" w:sz="0" w:space="0" w:color="auto" w:frame="1"/>
          <w:lang w:eastAsia="en-GB"/>
        </w:rPr>
        <w:t xml:space="preserve">The early years team here at Willowbrook all have training, </w:t>
      </w:r>
      <w:r w:rsidR="00581E25" w:rsidRPr="00110081">
        <w:rPr>
          <w:rFonts w:cstheme="minorHAnsi"/>
          <w:color w:val="000000" w:themeColor="text1"/>
          <w:szCs w:val="20"/>
          <w:bdr w:val="none" w:sz="0" w:space="0" w:color="auto" w:frame="1"/>
          <w:lang w:eastAsia="en-GB"/>
        </w:rPr>
        <w:t>knowledge,</w:t>
      </w:r>
      <w:r w:rsidRPr="00110081">
        <w:rPr>
          <w:rFonts w:cstheme="minorHAnsi"/>
          <w:color w:val="000000" w:themeColor="text1"/>
          <w:szCs w:val="20"/>
          <w:bdr w:val="none" w:sz="0" w:space="0" w:color="auto" w:frame="1"/>
          <w:lang w:eastAsia="en-GB"/>
        </w:rPr>
        <w:t xml:space="preserve"> and expertise in working with young children and use this when planning play activities by:</w:t>
      </w:r>
    </w:p>
    <w:p w14:paraId="1A9A77D6" w14:textId="77777777" w:rsidR="00110081" w:rsidRPr="00110081" w:rsidRDefault="00110081" w:rsidP="00110081">
      <w:pPr>
        <w:numPr>
          <w:ilvl w:val="0"/>
          <w:numId w:val="2"/>
        </w:numPr>
        <w:spacing w:after="0" w:line="276" w:lineRule="auto"/>
        <w:ind w:left="284" w:hanging="284"/>
        <w:textAlignment w:val="top"/>
        <w:rPr>
          <w:rFonts w:eastAsia="Times New Roman" w:cstheme="minorHAnsi"/>
          <w:color w:val="000000" w:themeColor="text1"/>
          <w:sz w:val="28"/>
          <w:szCs w:val="26"/>
          <w:lang w:eastAsia="en-GB"/>
        </w:rPr>
      </w:pPr>
      <w:r w:rsidRPr="00110081">
        <w:rPr>
          <w:rFonts w:eastAsia="Times New Roman" w:cstheme="minorHAnsi"/>
          <w:color w:val="000000" w:themeColor="text1"/>
          <w:szCs w:val="20"/>
          <w:bdr w:val="none" w:sz="0" w:space="0" w:color="auto" w:frame="1"/>
          <w:lang w:eastAsia="en-GB"/>
        </w:rPr>
        <w:t>Planning and resourcing a challenging environment</w:t>
      </w:r>
    </w:p>
    <w:p w14:paraId="32F40E88" w14:textId="77777777" w:rsidR="00110081" w:rsidRPr="00110081" w:rsidRDefault="00110081" w:rsidP="00110081">
      <w:pPr>
        <w:numPr>
          <w:ilvl w:val="0"/>
          <w:numId w:val="2"/>
        </w:numPr>
        <w:spacing w:after="0" w:line="276" w:lineRule="auto"/>
        <w:ind w:left="284" w:hanging="284"/>
        <w:textAlignment w:val="top"/>
        <w:rPr>
          <w:rFonts w:eastAsia="Times New Roman" w:cstheme="minorHAnsi"/>
          <w:color w:val="000000" w:themeColor="text1"/>
          <w:sz w:val="28"/>
          <w:szCs w:val="26"/>
          <w:lang w:eastAsia="en-GB"/>
        </w:rPr>
      </w:pPr>
      <w:r w:rsidRPr="00110081">
        <w:rPr>
          <w:rFonts w:eastAsia="Times New Roman" w:cstheme="minorHAnsi"/>
          <w:color w:val="000000" w:themeColor="text1"/>
          <w:szCs w:val="20"/>
          <w:bdr w:val="none" w:sz="0" w:space="0" w:color="auto" w:frame="1"/>
          <w:lang w:eastAsia="en-GB"/>
        </w:rPr>
        <w:t>Supporting children’s learning through planned play activities</w:t>
      </w:r>
    </w:p>
    <w:p w14:paraId="57DE3D50" w14:textId="77777777" w:rsidR="00110081" w:rsidRPr="00110081" w:rsidRDefault="00110081" w:rsidP="00110081">
      <w:pPr>
        <w:numPr>
          <w:ilvl w:val="0"/>
          <w:numId w:val="2"/>
        </w:numPr>
        <w:spacing w:after="0" w:line="276" w:lineRule="auto"/>
        <w:ind w:left="284" w:hanging="284"/>
        <w:textAlignment w:val="top"/>
        <w:rPr>
          <w:rFonts w:eastAsia="Times New Roman" w:cstheme="minorHAnsi"/>
          <w:color w:val="000000" w:themeColor="text1"/>
          <w:sz w:val="28"/>
          <w:szCs w:val="26"/>
          <w:lang w:eastAsia="en-GB"/>
        </w:rPr>
      </w:pPr>
      <w:r w:rsidRPr="00110081">
        <w:rPr>
          <w:rFonts w:eastAsia="Times New Roman" w:cstheme="minorHAnsi"/>
          <w:color w:val="000000" w:themeColor="text1"/>
          <w:szCs w:val="20"/>
          <w:bdr w:val="none" w:sz="0" w:space="0" w:color="auto" w:frame="1"/>
          <w:lang w:eastAsia="en-GB"/>
        </w:rPr>
        <w:t>Extending and supporting children’s spontaneous play</w:t>
      </w:r>
    </w:p>
    <w:p w14:paraId="03E311F7" w14:textId="77777777" w:rsidR="00110081" w:rsidRPr="00110081" w:rsidRDefault="00110081" w:rsidP="00110081">
      <w:pPr>
        <w:numPr>
          <w:ilvl w:val="0"/>
          <w:numId w:val="2"/>
        </w:numPr>
        <w:spacing w:after="0" w:line="276" w:lineRule="auto"/>
        <w:ind w:left="284" w:hanging="284"/>
        <w:textAlignment w:val="top"/>
        <w:rPr>
          <w:rFonts w:eastAsia="Times New Roman" w:cstheme="minorHAnsi"/>
          <w:color w:val="000000" w:themeColor="text1"/>
          <w:sz w:val="28"/>
          <w:szCs w:val="26"/>
          <w:lang w:eastAsia="en-GB"/>
        </w:rPr>
      </w:pPr>
      <w:r w:rsidRPr="00110081">
        <w:rPr>
          <w:rFonts w:eastAsia="Times New Roman" w:cstheme="minorHAnsi"/>
          <w:color w:val="000000" w:themeColor="text1"/>
          <w:szCs w:val="20"/>
          <w:bdr w:val="none" w:sz="0" w:space="0" w:color="auto" w:frame="1"/>
          <w:lang w:eastAsia="en-GB"/>
        </w:rPr>
        <w:t>Extending and developing children’s language and communication through their play</w:t>
      </w:r>
    </w:p>
    <w:p w14:paraId="3934D36C" w14:textId="77777777" w:rsidR="00110081" w:rsidRPr="00110081" w:rsidRDefault="00110081" w:rsidP="00110081">
      <w:pPr>
        <w:spacing w:after="0" w:line="240" w:lineRule="auto"/>
        <w:textAlignment w:val="top"/>
        <w:rPr>
          <w:rFonts w:eastAsia="Times New Roman" w:cstheme="minorHAnsi"/>
          <w:color w:val="000000" w:themeColor="text1"/>
          <w:sz w:val="28"/>
          <w:szCs w:val="26"/>
          <w:lang w:eastAsia="en-GB"/>
        </w:rPr>
      </w:pPr>
      <w:r w:rsidRPr="00110081">
        <w:rPr>
          <w:rFonts w:eastAsia="Times New Roman" w:cstheme="minorHAnsi"/>
          <w:color w:val="000000" w:themeColor="text1"/>
          <w:sz w:val="28"/>
          <w:szCs w:val="26"/>
          <w:lang w:eastAsia="en-GB"/>
        </w:rPr>
        <w:t> </w:t>
      </w:r>
    </w:p>
    <w:p w14:paraId="3A9FB3E5" w14:textId="3547168B" w:rsidR="00110081" w:rsidRDefault="00110081" w:rsidP="00110081">
      <w:pPr>
        <w:spacing w:after="0" w:line="240" w:lineRule="auto"/>
        <w:textAlignment w:val="top"/>
        <w:rPr>
          <w:rFonts w:eastAsia="Times New Roman" w:cstheme="minorHAnsi"/>
          <w:color w:val="000000" w:themeColor="text1"/>
          <w:szCs w:val="20"/>
          <w:bdr w:val="none" w:sz="0" w:space="0" w:color="auto" w:frame="1"/>
          <w:lang w:eastAsia="en-GB"/>
        </w:rPr>
      </w:pPr>
      <w:r w:rsidRPr="00110081">
        <w:rPr>
          <w:rFonts w:eastAsia="Times New Roman" w:cstheme="minorHAnsi"/>
          <w:color w:val="000000" w:themeColor="text1"/>
          <w:szCs w:val="20"/>
          <w:bdr w:val="none" w:sz="0" w:space="0" w:color="auto" w:frame="1"/>
          <w:lang w:eastAsia="en-GB"/>
        </w:rPr>
        <w:t>We believe that adults involved in children’s play activities need to facilitate and extend the children’s learning through the planned play activities. High quality adult support is invaluable in extending children’s learning, and we endeavour to extend the learning through well planned play activities.</w:t>
      </w:r>
    </w:p>
    <w:p w14:paraId="03389D5A" w14:textId="2DF94AC8" w:rsidR="005F419E" w:rsidRDefault="005F419E" w:rsidP="00110081">
      <w:pPr>
        <w:spacing w:after="0" w:line="240" w:lineRule="auto"/>
        <w:textAlignment w:val="top"/>
        <w:rPr>
          <w:rFonts w:eastAsia="Times New Roman" w:cstheme="minorHAnsi"/>
          <w:color w:val="000000" w:themeColor="text1"/>
          <w:szCs w:val="20"/>
          <w:bdr w:val="none" w:sz="0" w:space="0" w:color="auto" w:frame="1"/>
          <w:lang w:eastAsia="en-GB"/>
        </w:rPr>
      </w:pPr>
    </w:p>
    <w:p w14:paraId="2C2F37BB" w14:textId="2B367247" w:rsidR="005F419E" w:rsidRDefault="005F419E" w:rsidP="005F419E">
      <w:pPr>
        <w:spacing w:after="0" w:line="240" w:lineRule="auto"/>
        <w:textAlignment w:val="top"/>
        <w:rPr>
          <w:rFonts w:eastAsia="Times New Roman" w:cstheme="minorHAnsi"/>
          <w:color w:val="000000" w:themeColor="text1"/>
          <w:szCs w:val="20"/>
          <w:bdr w:val="none" w:sz="0" w:space="0" w:color="auto" w:frame="1"/>
          <w:lang w:eastAsia="en-GB"/>
        </w:rPr>
      </w:pPr>
      <w:r w:rsidRPr="005F419E">
        <w:rPr>
          <w:rFonts w:eastAsia="Times New Roman" w:cstheme="minorHAnsi"/>
          <w:color w:val="000000" w:themeColor="text1"/>
          <w:szCs w:val="20"/>
          <w:bdr w:val="none" w:sz="0" w:space="0" w:color="auto" w:frame="1"/>
          <w:lang w:eastAsia="en-GB"/>
        </w:rPr>
        <w:t xml:space="preserve">Our outdoor area is used every day and compliments the ‘free flow’ set up of the indoor classrooms. Children are encouraged to improve their physical development and self-confidence with risk taking. Children also use their independence to select the resources that they would like to play with and take responsibility for tidying these away.  </w:t>
      </w:r>
    </w:p>
    <w:p w14:paraId="62CACA42" w14:textId="18BE3639" w:rsidR="005F419E" w:rsidRDefault="005F419E" w:rsidP="005F419E">
      <w:pPr>
        <w:spacing w:after="0" w:line="240" w:lineRule="auto"/>
        <w:textAlignment w:val="top"/>
        <w:rPr>
          <w:rFonts w:eastAsia="Times New Roman" w:cstheme="minorHAnsi"/>
          <w:color w:val="000000" w:themeColor="text1"/>
          <w:szCs w:val="20"/>
          <w:bdr w:val="none" w:sz="0" w:space="0" w:color="auto" w:frame="1"/>
          <w:lang w:eastAsia="en-GB"/>
        </w:rPr>
      </w:pPr>
    </w:p>
    <w:p w14:paraId="6FDB157B" w14:textId="6776B35D" w:rsidR="0039590F" w:rsidRPr="00581E25" w:rsidRDefault="005F419E" w:rsidP="0039590F">
      <w:pPr>
        <w:rPr>
          <w:rFonts w:cstheme="minorHAnsi"/>
          <w:bdr w:val="none" w:sz="0" w:space="0" w:color="auto" w:frame="1"/>
          <w:lang w:eastAsia="en-GB"/>
        </w:rPr>
      </w:pPr>
      <w:r w:rsidRPr="00590D9D">
        <w:rPr>
          <w:rFonts w:cstheme="minorHAnsi"/>
          <w:bdr w:val="none" w:sz="0" w:space="0" w:color="auto" w:frame="1"/>
          <w:lang w:eastAsia="en-GB"/>
        </w:rPr>
        <w:lastRenderedPageBreak/>
        <w:t xml:space="preserve">We believe a key element to developing the whole child is to foster their independence. As such through the curriculum we aim to create independent and confident learners who </w:t>
      </w:r>
      <w:r w:rsidR="00C01D5F" w:rsidRPr="00590D9D">
        <w:rPr>
          <w:rFonts w:cstheme="minorHAnsi"/>
          <w:bdr w:val="none" w:sz="0" w:space="0" w:color="auto" w:frame="1"/>
          <w:lang w:eastAsia="en-GB"/>
        </w:rPr>
        <w:t>can</w:t>
      </w:r>
      <w:r w:rsidRPr="00590D9D">
        <w:rPr>
          <w:rFonts w:cstheme="minorHAnsi"/>
          <w:bdr w:val="none" w:sz="0" w:space="0" w:color="auto" w:frame="1"/>
          <w:lang w:eastAsia="en-GB"/>
        </w:rPr>
        <w:t xml:space="preserve"> take charge of their own learning.</w:t>
      </w:r>
      <w:r>
        <w:rPr>
          <w:rFonts w:cstheme="minorHAnsi"/>
          <w:bdr w:val="none" w:sz="0" w:space="0" w:color="auto" w:frame="1"/>
          <w:lang w:eastAsia="en-GB"/>
        </w:rPr>
        <w:t xml:space="preserve"> Therefore, we ensure that our planning incorporates the opportunity for children to ‘explore’ and take a lead in their learning. EYFS staff are </w:t>
      </w:r>
      <w:r w:rsidR="00C01D5F">
        <w:rPr>
          <w:rFonts w:cstheme="minorHAnsi"/>
          <w:bdr w:val="none" w:sz="0" w:space="0" w:color="auto" w:frame="1"/>
          <w:lang w:eastAsia="en-GB"/>
        </w:rPr>
        <w:t xml:space="preserve">skilled in enhancing the child’s learning by acknowledging individual next </w:t>
      </w:r>
      <w:r w:rsidR="007C3593">
        <w:rPr>
          <w:rFonts w:cstheme="minorHAnsi"/>
          <w:bdr w:val="none" w:sz="0" w:space="0" w:color="auto" w:frame="1"/>
          <w:lang w:eastAsia="en-GB"/>
        </w:rPr>
        <w:t>steps and</w:t>
      </w:r>
      <w:r w:rsidR="00C01D5F">
        <w:rPr>
          <w:rFonts w:cstheme="minorHAnsi"/>
          <w:bdr w:val="none" w:sz="0" w:space="0" w:color="auto" w:frame="1"/>
          <w:lang w:eastAsia="en-GB"/>
        </w:rPr>
        <w:t xml:space="preserve"> promoting key vocabulary and language. </w:t>
      </w:r>
      <w:r w:rsidR="00581E25">
        <w:rPr>
          <w:rFonts w:cstheme="minorHAnsi"/>
          <w:bdr w:val="none" w:sz="0" w:space="0" w:color="auto" w:frame="1"/>
          <w:lang w:eastAsia="en-GB"/>
        </w:rPr>
        <w:br/>
      </w:r>
    </w:p>
    <w:p w14:paraId="75981E5E" w14:textId="77777777" w:rsidR="00A64700" w:rsidRPr="00550EC1" w:rsidRDefault="0039590F" w:rsidP="00A64700">
      <w:r>
        <w:rPr>
          <w:rFonts w:cstheme="minorHAnsi"/>
          <w:u w:val="single"/>
        </w:rPr>
        <w:t xml:space="preserve">5.2 Teaching </w:t>
      </w:r>
      <w:r w:rsidR="00A64700">
        <w:rPr>
          <w:rFonts w:cstheme="minorHAnsi"/>
          <w:u w:val="single"/>
        </w:rPr>
        <w:br/>
      </w:r>
      <w:r w:rsidR="00A64700">
        <w:rPr>
          <w:rFonts w:cstheme="minorHAnsi"/>
          <w:u w:val="single"/>
        </w:rPr>
        <w:br/>
      </w:r>
      <w:r w:rsidR="00A64700" w:rsidRPr="00550EC1">
        <w:t>Each area of learning and development is implemented through planned, purposeful play, and through a mix of adult-</w:t>
      </w:r>
      <w:r w:rsidR="00A64700">
        <w:t>led and child-initiated activities</w:t>
      </w:r>
      <w:r w:rsidR="00A64700" w:rsidRPr="00550EC1">
        <w:t xml:space="preserve">. </w:t>
      </w:r>
      <w:r w:rsidR="00A64700">
        <w:t>Staff</w:t>
      </w:r>
      <w:r w:rsidR="00A64700" w:rsidRPr="00550EC1">
        <w:t xml:space="preserve"> respond to each child’s emerging needs and interests, guiding their development through warm, positive interaction.</w:t>
      </w:r>
    </w:p>
    <w:p w14:paraId="4F4D7D23" w14:textId="2A5432E0" w:rsidR="0039590F" w:rsidRDefault="007C3593" w:rsidP="0039590F">
      <w:pPr>
        <w:rPr>
          <w:rFonts w:eastAsia="Times New Roman" w:cstheme="minorHAnsi"/>
          <w:color w:val="000000" w:themeColor="text1"/>
          <w:bdr w:val="none" w:sz="0" w:space="0" w:color="auto" w:frame="1"/>
          <w:lang w:eastAsia="en-GB"/>
        </w:rPr>
      </w:pPr>
      <w:r>
        <w:rPr>
          <w:rFonts w:cstheme="minorHAnsi"/>
        </w:rPr>
        <w:t>T</w:t>
      </w:r>
      <w:r w:rsidRPr="007C3593">
        <w:rPr>
          <w:rFonts w:cstheme="minorHAnsi"/>
        </w:rPr>
        <w:t xml:space="preserve">eaching </w:t>
      </w:r>
      <w:r>
        <w:rPr>
          <w:rFonts w:cstheme="minorHAnsi"/>
        </w:rPr>
        <w:t xml:space="preserve">is not a </w:t>
      </w:r>
      <w:r w:rsidRPr="007C3593">
        <w:rPr>
          <w:rFonts w:cstheme="minorHAnsi"/>
        </w:rPr>
        <w:t xml:space="preserve">‘top down’ or formal way of working. It is a broad term that covers the </w:t>
      </w:r>
      <w:proofErr w:type="gramStart"/>
      <w:r w:rsidRPr="007C3593">
        <w:rPr>
          <w:rFonts w:cstheme="minorHAnsi"/>
        </w:rPr>
        <w:t>many different ways</w:t>
      </w:r>
      <w:proofErr w:type="gramEnd"/>
      <w:r w:rsidRPr="007C3593">
        <w:rPr>
          <w:rFonts w:cstheme="minorHAnsi"/>
        </w:rPr>
        <w:t xml:space="preserve"> in which adults help young children learn.</w:t>
      </w:r>
      <w:r>
        <w:rPr>
          <w:rFonts w:cstheme="minorHAnsi"/>
        </w:rPr>
        <w:t xml:space="preserve"> </w:t>
      </w:r>
      <w:r w:rsidR="00A64700" w:rsidRPr="00A64700">
        <w:rPr>
          <w:rFonts w:cstheme="minorHAnsi"/>
        </w:rPr>
        <w:t>Our cla</w:t>
      </w:r>
      <w:r w:rsidR="00A64700">
        <w:rPr>
          <w:rFonts w:cstheme="minorHAnsi"/>
        </w:rPr>
        <w:t xml:space="preserve">ssroom </w:t>
      </w:r>
      <w:r w:rsidR="00CA616F">
        <w:rPr>
          <w:rFonts w:cstheme="minorHAnsi"/>
        </w:rPr>
        <w:t xml:space="preserve">provision is set up in a way that allows children to access open ended resources rather that restricting a child’s learning. We do not have a ‘topic led’ provision as we believe the needs of our children is to build on their </w:t>
      </w:r>
      <w:r>
        <w:rPr>
          <w:rFonts w:cstheme="minorHAnsi"/>
        </w:rPr>
        <w:t>language</w:t>
      </w:r>
      <w:r w:rsidR="00CA616F">
        <w:rPr>
          <w:rFonts w:cstheme="minorHAnsi"/>
        </w:rPr>
        <w:t xml:space="preserve"> </w:t>
      </w:r>
      <w:r>
        <w:rPr>
          <w:rFonts w:cstheme="minorHAnsi"/>
        </w:rPr>
        <w:t xml:space="preserve">and self-regulation. Therefore, giving them access to all resources ensures that </w:t>
      </w:r>
      <w:r w:rsidR="00666092" w:rsidRPr="00666092">
        <w:rPr>
          <w:rFonts w:eastAsia="Times New Roman" w:cstheme="minorHAnsi"/>
          <w:color w:val="000000" w:themeColor="text1"/>
          <w:bdr w:val="none" w:sz="0" w:space="0" w:color="auto" w:frame="1"/>
          <w:lang w:eastAsia="en-GB"/>
        </w:rPr>
        <w:t>children develop and learn in different ways and at different rates and all areas of Learning and Development are equally important and inter-connected</w:t>
      </w:r>
    </w:p>
    <w:p w14:paraId="7B308853" w14:textId="77777777" w:rsidR="00F97566" w:rsidRPr="00666092" w:rsidRDefault="00F97566" w:rsidP="0039590F">
      <w:pPr>
        <w:rPr>
          <w:rFonts w:cstheme="minorHAnsi"/>
          <w:color w:val="000000" w:themeColor="text1"/>
        </w:rPr>
      </w:pPr>
    </w:p>
    <w:p w14:paraId="66FA5B04" w14:textId="1590D228" w:rsidR="00D44C2B" w:rsidRDefault="00D44C2B" w:rsidP="00D44C2B">
      <w:pPr>
        <w:pStyle w:val="ListParagraph"/>
        <w:numPr>
          <w:ilvl w:val="0"/>
          <w:numId w:val="8"/>
        </w:numPr>
        <w:rPr>
          <w:rFonts w:cstheme="minorHAnsi"/>
          <w:b/>
          <w:bCs/>
        </w:rPr>
      </w:pPr>
      <w:r>
        <w:rPr>
          <w:rFonts w:cstheme="minorHAnsi"/>
          <w:b/>
          <w:bCs/>
        </w:rPr>
        <w:t>Assessment</w:t>
      </w:r>
    </w:p>
    <w:p w14:paraId="5606A15D" w14:textId="485960D8" w:rsidR="007233C0" w:rsidRDefault="007233C0" w:rsidP="007233C0">
      <w:r w:rsidRPr="007233C0">
        <w:rPr>
          <w:color w:val="000000"/>
        </w:rPr>
        <w:t xml:space="preserve">At </w:t>
      </w:r>
      <w:r>
        <w:rPr>
          <w:color w:val="000000"/>
        </w:rPr>
        <w:t>Willowbrook Mead</w:t>
      </w:r>
      <w:r w:rsidRPr="007233C0">
        <w:rPr>
          <w:color w:val="000000"/>
        </w:rPr>
        <w:t>, ongoing assessment is an integral part of the learning and development processes. Staff observe pupils</w:t>
      </w:r>
      <w:r w:rsidRPr="00550EC1">
        <w:t xml:space="preserve"> to iden</w:t>
      </w:r>
      <w:r>
        <w:t>tify their level of achievement</w:t>
      </w:r>
      <w:r w:rsidRPr="00550EC1">
        <w:t xml:space="preserve">, interests and learning styles. These </w:t>
      </w:r>
      <w:r>
        <w:t>observations are u</w:t>
      </w:r>
      <w:r w:rsidRPr="00550EC1">
        <w:t xml:space="preserve">sed to shape future planning. </w:t>
      </w:r>
      <w:r>
        <w:t>Staff</w:t>
      </w:r>
      <w:r w:rsidRPr="00550EC1">
        <w:t xml:space="preserve"> also </w:t>
      </w:r>
      <w:r w:rsidR="001E7CD0" w:rsidRPr="00550EC1">
        <w:t>consider</w:t>
      </w:r>
      <w:r w:rsidRPr="00550EC1">
        <w:t xml:space="preserve"> observations shared by parents and</w:t>
      </w:r>
      <w:r>
        <w:t>/or</w:t>
      </w:r>
      <w:r w:rsidRPr="00550EC1">
        <w:t xml:space="preserve"> carers.</w:t>
      </w:r>
    </w:p>
    <w:p w14:paraId="1B8A28BE" w14:textId="77777777" w:rsidR="004D468B" w:rsidRPr="004D468B" w:rsidRDefault="004D468B" w:rsidP="004D468B">
      <w:pPr>
        <w:spacing w:after="0" w:line="240" w:lineRule="auto"/>
        <w:textAlignment w:val="top"/>
        <w:rPr>
          <w:rFonts w:eastAsia="Times New Roman" w:cstheme="minorHAnsi"/>
          <w:color w:val="000000" w:themeColor="text1"/>
          <w:lang w:eastAsia="en-GB"/>
        </w:rPr>
      </w:pPr>
      <w:r w:rsidRPr="004D468B">
        <w:rPr>
          <w:rFonts w:eastAsia="Times New Roman" w:cstheme="minorHAnsi"/>
          <w:color w:val="000000" w:themeColor="text1"/>
          <w:lang w:eastAsia="en-GB"/>
        </w:rPr>
        <w:t>The children at Willowbrook are monitored and assessed in a variety of ways:</w:t>
      </w:r>
    </w:p>
    <w:p w14:paraId="1E49C8E2" w14:textId="77777777" w:rsidR="004D468B" w:rsidRPr="004D468B" w:rsidRDefault="004D468B" w:rsidP="004D468B">
      <w:pPr>
        <w:numPr>
          <w:ilvl w:val="0"/>
          <w:numId w:val="5"/>
        </w:numPr>
        <w:spacing w:after="0" w:line="276" w:lineRule="auto"/>
        <w:ind w:left="284" w:hanging="284"/>
        <w:textAlignment w:val="top"/>
        <w:rPr>
          <w:rFonts w:eastAsia="Times New Roman" w:cstheme="minorHAnsi"/>
          <w:color w:val="000000" w:themeColor="text1"/>
          <w:sz w:val="28"/>
          <w:szCs w:val="26"/>
          <w:lang w:eastAsia="en-GB"/>
        </w:rPr>
      </w:pPr>
      <w:r w:rsidRPr="004D468B">
        <w:rPr>
          <w:rFonts w:eastAsia="Times New Roman" w:cstheme="minorHAnsi"/>
          <w:color w:val="000000" w:themeColor="text1"/>
          <w:szCs w:val="20"/>
          <w:bdr w:val="none" w:sz="0" w:space="0" w:color="auto" w:frame="1"/>
          <w:lang w:eastAsia="en-GB"/>
        </w:rPr>
        <w:t>Through the Early Years Foundation Stage Profile particularly linked to the development matters age bands.</w:t>
      </w:r>
    </w:p>
    <w:p w14:paraId="0FAC4100" w14:textId="0FF8D1F4" w:rsidR="004D468B" w:rsidRPr="004D468B" w:rsidRDefault="004D468B" w:rsidP="004D468B">
      <w:pPr>
        <w:numPr>
          <w:ilvl w:val="0"/>
          <w:numId w:val="5"/>
        </w:numPr>
        <w:spacing w:after="0" w:line="276" w:lineRule="auto"/>
        <w:ind w:left="284" w:hanging="284"/>
        <w:textAlignment w:val="top"/>
        <w:rPr>
          <w:rFonts w:eastAsia="Times New Roman" w:cstheme="minorHAnsi"/>
          <w:color w:val="000000" w:themeColor="text1"/>
          <w:sz w:val="28"/>
          <w:szCs w:val="26"/>
          <w:lang w:eastAsia="en-GB"/>
        </w:rPr>
      </w:pPr>
      <w:r w:rsidRPr="004D468B">
        <w:rPr>
          <w:rFonts w:eastAsia="Times New Roman" w:cstheme="minorHAnsi"/>
          <w:color w:val="000000" w:themeColor="text1"/>
          <w:szCs w:val="20"/>
          <w:bdr w:val="none" w:sz="0" w:space="0" w:color="auto" w:frame="1"/>
          <w:lang w:eastAsia="en-GB"/>
        </w:rPr>
        <w:t>Target Tracker.</w:t>
      </w:r>
    </w:p>
    <w:p w14:paraId="5E4647A2" w14:textId="0524E178" w:rsidR="004D468B" w:rsidRPr="004D468B" w:rsidRDefault="004D468B" w:rsidP="004D468B">
      <w:pPr>
        <w:numPr>
          <w:ilvl w:val="0"/>
          <w:numId w:val="5"/>
        </w:numPr>
        <w:spacing w:after="0" w:line="276" w:lineRule="auto"/>
        <w:ind w:left="284" w:hanging="284"/>
        <w:textAlignment w:val="top"/>
        <w:rPr>
          <w:rFonts w:eastAsia="Times New Roman" w:cstheme="minorHAnsi"/>
          <w:color w:val="000000" w:themeColor="text1"/>
          <w:sz w:val="28"/>
          <w:szCs w:val="26"/>
          <w:lang w:eastAsia="en-GB"/>
        </w:rPr>
      </w:pPr>
      <w:r w:rsidRPr="004D468B">
        <w:rPr>
          <w:rFonts w:eastAsia="Times New Roman" w:cstheme="minorHAnsi"/>
          <w:color w:val="000000" w:themeColor="text1"/>
          <w:szCs w:val="20"/>
          <w:bdr w:val="none" w:sz="0" w:space="0" w:color="auto" w:frame="1"/>
          <w:lang w:eastAsia="en-GB"/>
        </w:rPr>
        <w:t xml:space="preserve">General day to day teacher assessment and observation through written observations, </w:t>
      </w:r>
      <w:r w:rsidR="001E7CD0">
        <w:rPr>
          <w:rFonts w:eastAsia="Times New Roman" w:cstheme="minorHAnsi"/>
          <w:color w:val="000000" w:themeColor="text1"/>
          <w:szCs w:val="20"/>
          <w:bdr w:val="none" w:sz="0" w:space="0" w:color="auto" w:frame="1"/>
          <w:lang w:eastAsia="en-GB"/>
        </w:rPr>
        <w:t xml:space="preserve">observations on Tapestry (our online learning journal). </w:t>
      </w:r>
    </w:p>
    <w:p w14:paraId="649AA3C8" w14:textId="77777777" w:rsidR="004D468B" w:rsidRPr="00550EC1" w:rsidRDefault="004D468B" w:rsidP="007233C0"/>
    <w:p w14:paraId="2E500396" w14:textId="77777777" w:rsidR="004D468B" w:rsidRPr="00020D06" w:rsidRDefault="004D468B" w:rsidP="004D468B">
      <w:r>
        <w:t xml:space="preserve">Within the first 6 weeks </w:t>
      </w:r>
      <w:r w:rsidRPr="000A2FCF">
        <w:t>that</w:t>
      </w:r>
      <w:r>
        <w:rPr>
          <w:b/>
        </w:rPr>
        <w:t xml:space="preserve"> </w:t>
      </w:r>
      <w:r w:rsidRPr="000A2FCF">
        <w:t>a child</w:t>
      </w:r>
      <w:r>
        <w:rPr>
          <w:b/>
        </w:rPr>
        <w:t xml:space="preserve"> starts reception</w:t>
      </w:r>
      <w:r>
        <w:t xml:space="preserve">, staff will administer the Reception Baseline Assessment (RBA). </w:t>
      </w:r>
    </w:p>
    <w:p w14:paraId="4EA667A9" w14:textId="77777777" w:rsidR="004D468B" w:rsidRPr="00550EC1" w:rsidRDefault="004D468B" w:rsidP="004D468B">
      <w:r w:rsidRPr="00550EC1">
        <w:t xml:space="preserve">At the </w:t>
      </w:r>
      <w:r w:rsidRPr="00020D06">
        <w:rPr>
          <w:b/>
        </w:rPr>
        <w:t>end of the EYFS</w:t>
      </w:r>
      <w:r w:rsidRPr="00550EC1">
        <w:t xml:space="preserve">, staff complete the EYFS profile for each child. Pupils are assessed against </w:t>
      </w:r>
      <w:r>
        <w:t xml:space="preserve">the </w:t>
      </w:r>
      <w:r w:rsidRPr="00550EC1">
        <w:t>17 early learning goals, i</w:t>
      </w:r>
      <w:r>
        <w:t>ndicating whether they are:</w:t>
      </w:r>
    </w:p>
    <w:p w14:paraId="60E393E3" w14:textId="77777777" w:rsidR="004D468B" w:rsidRPr="001E7CD0" w:rsidRDefault="004D468B" w:rsidP="004D468B">
      <w:pPr>
        <w:pStyle w:val="Bulletedcopylevel2"/>
        <w:rPr>
          <w:rFonts w:asciiTheme="minorHAnsi" w:hAnsiTheme="minorHAnsi" w:cstheme="minorHAnsi"/>
          <w:sz w:val="22"/>
          <w:szCs w:val="28"/>
        </w:rPr>
      </w:pPr>
      <w:r w:rsidRPr="001E7CD0">
        <w:rPr>
          <w:rFonts w:asciiTheme="minorHAnsi" w:hAnsiTheme="minorHAnsi" w:cstheme="minorHAnsi"/>
          <w:sz w:val="22"/>
          <w:szCs w:val="28"/>
        </w:rPr>
        <w:t>Meeting expected levels of development</w:t>
      </w:r>
    </w:p>
    <w:p w14:paraId="15AD4EF9" w14:textId="77777777" w:rsidR="004D468B" w:rsidRPr="001E7CD0" w:rsidRDefault="004D468B" w:rsidP="004D468B">
      <w:pPr>
        <w:pStyle w:val="Bulletedcopylevel2"/>
        <w:rPr>
          <w:rFonts w:asciiTheme="minorHAnsi" w:hAnsiTheme="minorHAnsi" w:cstheme="minorHAnsi"/>
          <w:sz w:val="22"/>
          <w:szCs w:val="28"/>
        </w:rPr>
      </w:pPr>
      <w:r w:rsidRPr="001E7CD0">
        <w:rPr>
          <w:rFonts w:asciiTheme="minorHAnsi" w:hAnsiTheme="minorHAnsi" w:cstheme="minorHAnsi"/>
          <w:sz w:val="22"/>
          <w:szCs w:val="28"/>
        </w:rPr>
        <w:t>Not yet reaching expected levels (‘emerging’)</w:t>
      </w:r>
    </w:p>
    <w:p w14:paraId="30441CFF" w14:textId="10867793" w:rsidR="00D44C2B" w:rsidRPr="00F97566" w:rsidRDefault="004D468B" w:rsidP="00F97566">
      <w:r w:rsidRPr="00550EC1">
        <w:t>The profile reflects ongoing observations</w:t>
      </w:r>
      <w:r>
        <w:t>,</w:t>
      </w:r>
      <w:r w:rsidRPr="00550EC1">
        <w:t xml:space="preserve"> and discussions with parents and</w:t>
      </w:r>
      <w:r>
        <w:t>/or</w:t>
      </w:r>
      <w:r w:rsidRPr="00550EC1">
        <w:t xml:space="preserve"> carers. The results of the profile are s</w:t>
      </w:r>
      <w:r>
        <w:t xml:space="preserve">hared with parents and/or carers for their child. </w:t>
      </w:r>
    </w:p>
    <w:p w14:paraId="478C4725" w14:textId="41432089" w:rsidR="00C16792" w:rsidRPr="00110081" w:rsidRDefault="00D44C2B" w:rsidP="00110081">
      <w:pPr>
        <w:pStyle w:val="ListParagraph"/>
        <w:numPr>
          <w:ilvl w:val="0"/>
          <w:numId w:val="8"/>
        </w:numPr>
        <w:rPr>
          <w:rFonts w:cstheme="minorHAnsi"/>
          <w:b/>
          <w:bCs/>
        </w:rPr>
      </w:pPr>
      <w:r>
        <w:rPr>
          <w:rFonts w:cstheme="minorHAnsi"/>
          <w:b/>
          <w:bCs/>
        </w:rPr>
        <w:t xml:space="preserve">Working with parents </w:t>
      </w:r>
    </w:p>
    <w:p w14:paraId="3584EE23" w14:textId="184C0A6A" w:rsidR="00C16792" w:rsidRPr="007233C0" w:rsidRDefault="007233C0" w:rsidP="00C16792">
      <w:pPr>
        <w:rPr>
          <w:rFonts w:cstheme="minorHAnsi"/>
          <w:sz w:val="26"/>
          <w:szCs w:val="26"/>
          <w:lang w:eastAsia="en-GB"/>
        </w:rPr>
      </w:pPr>
      <w:r>
        <w:rPr>
          <w:rFonts w:cstheme="minorHAnsi"/>
          <w:bdr w:val="none" w:sz="0" w:space="0" w:color="auto" w:frame="1"/>
          <w:lang w:eastAsia="en-GB"/>
        </w:rPr>
        <w:lastRenderedPageBreak/>
        <w:t>W</w:t>
      </w:r>
      <w:r w:rsidR="00C16792" w:rsidRPr="00590D9D">
        <w:rPr>
          <w:rFonts w:cstheme="minorHAnsi"/>
          <w:bdr w:val="none" w:sz="0" w:space="0" w:color="auto" w:frame="1"/>
          <w:lang w:eastAsia="en-GB"/>
        </w:rPr>
        <w:t>e believe the parents and carers to be co-educators of the children and as such we respect the learning both inside and outside of the school environment.</w:t>
      </w:r>
      <w:r w:rsidR="00C16792" w:rsidRPr="00590D9D">
        <w:rPr>
          <w:rFonts w:cstheme="minorHAnsi"/>
          <w:sz w:val="26"/>
          <w:szCs w:val="26"/>
          <w:lang w:eastAsia="en-GB"/>
        </w:rPr>
        <w:t> </w:t>
      </w:r>
      <w:r w:rsidR="00C16792" w:rsidRPr="00590D9D">
        <w:rPr>
          <w:rFonts w:cstheme="minorHAnsi"/>
          <w:bdr w:val="none" w:sz="0" w:space="0" w:color="auto" w:frame="1"/>
          <w:lang w:eastAsia="en-GB"/>
        </w:rPr>
        <w:t xml:space="preserve">We operate an open-door policy in </w:t>
      </w:r>
      <w:proofErr w:type="gramStart"/>
      <w:r w:rsidR="00DF38F3">
        <w:rPr>
          <w:rFonts w:cstheme="minorHAnsi"/>
          <w:bdr w:val="none" w:sz="0" w:space="0" w:color="auto" w:frame="1"/>
          <w:lang w:eastAsia="en-GB"/>
        </w:rPr>
        <w:t>EYFS</w:t>
      </w:r>
      <w:proofErr w:type="gramEnd"/>
      <w:r>
        <w:rPr>
          <w:rFonts w:cstheme="minorHAnsi"/>
          <w:bdr w:val="none" w:sz="0" w:space="0" w:color="auto" w:frame="1"/>
          <w:lang w:eastAsia="en-GB"/>
        </w:rPr>
        <w:t xml:space="preserve"> </w:t>
      </w:r>
      <w:r w:rsidR="00C16792" w:rsidRPr="00590D9D">
        <w:rPr>
          <w:rFonts w:cstheme="minorHAnsi"/>
          <w:bdr w:val="none" w:sz="0" w:space="0" w:color="auto" w:frame="1"/>
          <w:lang w:eastAsia="en-GB"/>
        </w:rPr>
        <w:t xml:space="preserve">and we encourage the parents to discuss any problems or questions they may have with the class teachers and </w:t>
      </w:r>
      <w:r w:rsidR="00DF38F3">
        <w:rPr>
          <w:rFonts w:cstheme="minorHAnsi"/>
          <w:bdr w:val="none" w:sz="0" w:space="0" w:color="auto" w:frame="1"/>
          <w:lang w:eastAsia="en-GB"/>
        </w:rPr>
        <w:t>EYFS</w:t>
      </w:r>
      <w:r>
        <w:rPr>
          <w:rFonts w:cstheme="minorHAnsi"/>
          <w:bdr w:val="none" w:sz="0" w:space="0" w:color="auto" w:frame="1"/>
          <w:lang w:eastAsia="en-GB"/>
        </w:rPr>
        <w:t xml:space="preserve"> </w:t>
      </w:r>
      <w:r w:rsidR="00C16792" w:rsidRPr="00590D9D">
        <w:rPr>
          <w:rFonts w:cstheme="minorHAnsi"/>
          <w:bdr w:val="none" w:sz="0" w:space="0" w:color="auto" w:frame="1"/>
          <w:lang w:eastAsia="en-GB"/>
        </w:rPr>
        <w:t>staff.</w:t>
      </w:r>
    </w:p>
    <w:p w14:paraId="4CCF4B65" w14:textId="5589D961" w:rsidR="00C16792" w:rsidRDefault="00C16792" w:rsidP="00C16792">
      <w:pPr>
        <w:rPr>
          <w:rFonts w:cstheme="minorHAnsi"/>
          <w:bdr w:val="none" w:sz="0" w:space="0" w:color="auto" w:frame="1"/>
          <w:lang w:eastAsia="en-GB"/>
        </w:rPr>
      </w:pPr>
      <w:r w:rsidRPr="00590D9D">
        <w:rPr>
          <w:rFonts w:cstheme="minorHAnsi"/>
          <w:bdr w:val="none" w:sz="0" w:space="0" w:color="auto" w:frame="1"/>
          <w:lang w:eastAsia="en-GB"/>
        </w:rPr>
        <w:t xml:space="preserve">We encourage the parents to become actively involved in their child’s education through holding curriculum days and special events, sending regular </w:t>
      </w:r>
      <w:r w:rsidR="007233C0" w:rsidRPr="00590D9D">
        <w:rPr>
          <w:rFonts w:cstheme="minorHAnsi"/>
          <w:bdr w:val="none" w:sz="0" w:space="0" w:color="auto" w:frame="1"/>
          <w:lang w:eastAsia="en-GB"/>
        </w:rPr>
        <w:t>homework,</w:t>
      </w:r>
      <w:r w:rsidRPr="00590D9D">
        <w:rPr>
          <w:rFonts w:cstheme="minorHAnsi"/>
          <w:bdr w:val="none" w:sz="0" w:space="0" w:color="auto" w:frame="1"/>
          <w:lang w:eastAsia="en-GB"/>
        </w:rPr>
        <w:t xml:space="preserve"> and using Tapestry as an on-line Learning Journey for parents/carers to contribute to. We also use Class</w:t>
      </w:r>
      <w:r>
        <w:rPr>
          <w:rFonts w:cstheme="minorHAnsi"/>
          <w:bdr w:val="none" w:sz="0" w:space="0" w:color="auto" w:frame="1"/>
          <w:lang w:eastAsia="en-GB"/>
        </w:rPr>
        <w:t xml:space="preserve"> </w:t>
      </w:r>
      <w:r w:rsidRPr="00590D9D">
        <w:rPr>
          <w:rFonts w:cstheme="minorHAnsi"/>
          <w:bdr w:val="none" w:sz="0" w:space="0" w:color="auto" w:frame="1"/>
          <w:lang w:eastAsia="en-GB"/>
        </w:rPr>
        <w:t>dojo to communicate with parents. This can be translated so offers great support to our EAL families.</w:t>
      </w:r>
    </w:p>
    <w:p w14:paraId="24654844" w14:textId="5C920D00" w:rsidR="007233C0" w:rsidRPr="00C16792" w:rsidRDefault="007233C0" w:rsidP="00C16792">
      <w:pPr>
        <w:rPr>
          <w:rFonts w:cstheme="minorHAnsi"/>
          <w:sz w:val="26"/>
          <w:szCs w:val="26"/>
          <w:lang w:eastAsia="en-GB"/>
        </w:rPr>
      </w:pPr>
      <w:r w:rsidRPr="00550EC1">
        <w:t>Each child is assigned a key person who helps to ensure that their learning and care is tailored to meet their needs. The key person supports parents and/or carers in guiding their child’s development at home. The key person also helps families to engage with more specialist support, if appropriate</w:t>
      </w:r>
    </w:p>
    <w:p w14:paraId="3481C1D1" w14:textId="77777777" w:rsidR="00A50731" w:rsidRPr="00A50731" w:rsidRDefault="00A50731" w:rsidP="00A50731">
      <w:pPr>
        <w:pStyle w:val="ListParagraph"/>
        <w:rPr>
          <w:rFonts w:cstheme="minorHAnsi"/>
          <w:b/>
          <w:bCs/>
        </w:rPr>
      </w:pPr>
    </w:p>
    <w:p w14:paraId="018DB5BD" w14:textId="2DEE608C" w:rsidR="00A50731" w:rsidRDefault="00A50731" w:rsidP="00D44C2B">
      <w:pPr>
        <w:pStyle w:val="ListParagraph"/>
        <w:numPr>
          <w:ilvl w:val="0"/>
          <w:numId w:val="8"/>
        </w:numPr>
        <w:rPr>
          <w:rFonts w:cstheme="minorHAnsi"/>
          <w:b/>
          <w:bCs/>
        </w:rPr>
      </w:pPr>
      <w:r>
        <w:rPr>
          <w:rFonts w:cstheme="minorHAnsi"/>
          <w:b/>
          <w:bCs/>
        </w:rPr>
        <w:t xml:space="preserve">Safeguarding and welfare procedures </w:t>
      </w:r>
    </w:p>
    <w:p w14:paraId="243BBF05" w14:textId="45396B25" w:rsidR="009767C1" w:rsidRDefault="007233C0" w:rsidP="007233C0">
      <w:pPr>
        <w:rPr>
          <w:rFonts w:cstheme="minorHAnsi"/>
        </w:rPr>
      </w:pPr>
      <w:r w:rsidRPr="007233C0">
        <w:rPr>
          <w:rFonts w:cstheme="minorHAnsi"/>
        </w:rPr>
        <w:t xml:space="preserve">At </w:t>
      </w:r>
      <w:r>
        <w:rPr>
          <w:rFonts w:cstheme="minorHAnsi"/>
        </w:rPr>
        <w:t>Willowbrook Mead</w:t>
      </w:r>
      <w:r w:rsidR="002F7F57">
        <w:rPr>
          <w:rFonts w:cstheme="minorHAnsi"/>
        </w:rPr>
        <w:t xml:space="preserve"> </w:t>
      </w:r>
      <w:r w:rsidR="002F7F57" w:rsidRPr="002F7F57">
        <w:rPr>
          <w:rFonts w:cstheme="minorHAnsi"/>
        </w:rPr>
        <w:t>children’s personal, social and emotional development, including whether they feel safe and are secure, stimulated and happy</w:t>
      </w:r>
      <w:r w:rsidR="002F7F57">
        <w:rPr>
          <w:rFonts w:cstheme="minorHAnsi"/>
        </w:rPr>
        <w:t xml:space="preserve"> is an integral part of our wellbeing and safeguarding offer. Staff offer comfort to children where needed and are attentive and responsive to their needs. </w:t>
      </w:r>
    </w:p>
    <w:p w14:paraId="46D04EB2" w14:textId="7D630D72" w:rsidR="002F7F57" w:rsidRDefault="002F7F57" w:rsidP="007233C0">
      <w:pPr>
        <w:rPr>
          <w:rFonts w:cstheme="minorHAnsi"/>
        </w:rPr>
      </w:pPr>
      <w:r>
        <w:rPr>
          <w:rFonts w:cstheme="minorHAnsi"/>
        </w:rPr>
        <w:t>As part of our curriculum, we have a focus on health and wellbeing which include the following:</w:t>
      </w:r>
    </w:p>
    <w:p w14:paraId="134C7709" w14:textId="67FDE66D" w:rsidR="002F7F57" w:rsidRDefault="009F74D5" w:rsidP="002F7F57">
      <w:pPr>
        <w:pStyle w:val="ListParagraph"/>
        <w:numPr>
          <w:ilvl w:val="0"/>
          <w:numId w:val="9"/>
        </w:numPr>
        <w:rPr>
          <w:rFonts w:cstheme="minorHAnsi"/>
        </w:rPr>
      </w:pPr>
      <w:r>
        <w:rPr>
          <w:rFonts w:cstheme="minorHAnsi"/>
        </w:rPr>
        <w:t xml:space="preserve">Good oral health- </w:t>
      </w:r>
      <w:r w:rsidR="00576B91">
        <w:rPr>
          <w:rFonts w:cstheme="minorHAnsi"/>
        </w:rPr>
        <w:t xml:space="preserve">daily toothbrushing </w:t>
      </w:r>
    </w:p>
    <w:p w14:paraId="65D1C64C" w14:textId="203D9ACA" w:rsidR="009F74D5" w:rsidRDefault="009F74D5" w:rsidP="002F7F57">
      <w:pPr>
        <w:pStyle w:val="ListParagraph"/>
        <w:numPr>
          <w:ilvl w:val="0"/>
          <w:numId w:val="9"/>
        </w:numPr>
        <w:rPr>
          <w:rFonts w:cstheme="minorHAnsi"/>
        </w:rPr>
      </w:pPr>
      <w:r>
        <w:rPr>
          <w:rFonts w:cstheme="minorHAnsi"/>
        </w:rPr>
        <w:t xml:space="preserve">Healthy bodies- looking at </w:t>
      </w:r>
      <w:r w:rsidR="00576B91">
        <w:rPr>
          <w:rFonts w:cstheme="minorHAnsi"/>
        </w:rPr>
        <w:t xml:space="preserve">healthy food; exercise </w:t>
      </w:r>
    </w:p>
    <w:p w14:paraId="007EE1FC" w14:textId="14749AE8" w:rsidR="009F74D5" w:rsidRPr="002F7F57" w:rsidRDefault="00576B91" w:rsidP="002F7F57">
      <w:pPr>
        <w:pStyle w:val="ListParagraph"/>
        <w:numPr>
          <w:ilvl w:val="0"/>
          <w:numId w:val="9"/>
        </w:numPr>
        <w:rPr>
          <w:rFonts w:cstheme="minorHAnsi"/>
        </w:rPr>
      </w:pPr>
      <w:r>
        <w:rPr>
          <w:rFonts w:cstheme="minorHAnsi"/>
        </w:rPr>
        <w:t>Healthy minds- ‘</w:t>
      </w:r>
      <w:proofErr w:type="spellStart"/>
      <w:r>
        <w:rPr>
          <w:rFonts w:cstheme="minorHAnsi"/>
        </w:rPr>
        <w:t>Learnful</w:t>
      </w:r>
      <w:proofErr w:type="spellEnd"/>
      <w:r>
        <w:rPr>
          <w:rFonts w:cstheme="minorHAnsi"/>
        </w:rPr>
        <w:t>’ programme</w:t>
      </w:r>
    </w:p>
    <w:p w14:paraId="2CFA953B" w14:textId="48FFCC2F" w:rsidR="009767C1" w:rsidRDefault="009767C1" w:rsidP="009767C1">
      <w:r>
        <w:t>The rest of o</w:t>
      </w:r>
      <w:r w:rsidRPr="00550EC1">
        <w:t xml:space="preserve">ur safeguarding and welfare procedures are outlined in </w:t>
      </w:r>
      <w:r>
        <w:t xml:space="preserve">our </w:t>
      </w:r>
      <w:r w:rsidRPr="00550EC1">
        <w:t>safeguarding policy.</w:t>
      </w:r>
      <w:r>
        <w:rPr>
          <w:b/>
          <w:bCs/>
        </w:rPr>
        <w:t xml:space="preserve"> </w:t>
      </w:r>
      <w:r>
        <w:t xml:space="preserve">Safeguarding also is an agenda item at our phase meetings which are held fortnightly. </w:t>
      </w:r>
    </w:p>
    <w:p w14:paraId="1848F0BB" w14:textId="4147FE9D" w:rsidR="00DB4FB5" w:rsidRDefault="00DB4FB5" w:rsidP="009767C1"/>
    <w:p w14:paraId="69CE05FB" w14:textId="552B75C6" w:rsidR="00DB4FB5" w:rsidRPr="00DB4FB5" w:rsidRDefault="00DB4FB5" w:rsidP="00DB4FB5">
      <w:pPr>
        <w:pStyle w:val="ListParagraph"/>
        <w:numPr>
          <w:ilvl w:val="0"/>
          <w:numId w:val="8"/>
        </w:numPr>
        <w:rPr>
          <w:b/>
          <w:bCs/>
        </w:rPr>
      </w:pPr>
      <w:r w:rsidRPr="00DB4FB5">
        <w:rPr>
          <w:b/>
          <w:bCs/>
        </w:rPr>
        <w:t>Equal Opportunities, Inclusion and Special Education Needs</w:t>
      </w:r>
    </w:p>
    <w:p w14:paraId="7846354A" w14:textId="3D67C18C" w:rsidR="00DB4FB5" w:rsidRDefault="00DB4FB5" w:rsidP="00DB4FB5">
      <w:r>
        <w:t>We believe that all children have a right to a full and inclusive education and as such we aim to deliver a curriculum that is accessible to all children irrespective of their ethnic, race and cultural heritage</w:t>
      </w:r>
      <w:r w:rsidR="00865CC3">
        <w:t>.</w:t>
      </w:r>
      <w:r>
        <w:t xml:space="preserve"> </w:t>
      </w:r>
    </w:p>
    <w:p w14:paraId="084CB511" w14:textId="4DCF1704" w:rsidR="00DB4FB5" w:rsidRPr="009767C1" w:rsidRDefault="00DB4FB5" w:rsidP="00DB4FB5">
      <w:r>
        <w:t>We aim to set a challenging curriculum that enhances the learning of children with special educational needs and enriches th</w:t>
      </w:r>
      <w:r w:rsidR="00C15D0C">
        <w:t>ose at mastery level</w:t>
      </w:r>
      <w:r>
        <w:t xml:space="preserve">. </w:t>
      </w:r>
    </w:p>
    <w:p w14:paraId="10F4C310" w14:textId="77777777" w:rsidR="00A50731" w:rsidRPr="00A50731" w:rsidRDefault="00A50731" w:rsidP="00A50731">
      <w:pPr>
        <w:pStyle w:val="ListParagraph"/>
        <w:rPr>
          <w:rFonts w:cstheme="minorHAnsi"/>
          <w:b/>
          <w:bCs/>
        </w:rPr>
      </w:pPr>
    </w:p>
    <w:p w14:paraId="62C0DD3A" w14:textId="2DD090D4" w:rsidR="00A50731" w:rsidRPr="004452F0" w:rsidRDefault="00A50731" w:rsidP="004452F0">
      <w:pPr>
        <w:pStyle w:val="ListParagraph"/>
        <w:numPr>
          <w:ilvl w:val="0"/>
          <w:numId w:val="8"/>
        </w:numPr>
        <w:rPr>
          <w:rFonts w:cstheme="minorHAnsi"/>
          <w:b/>
          <w:bCs/>
        </w:rPr>
      </w:pPr>
      <w:r>
        <w:rPr>
          <w:rFonts w:cstheme="minorHAnsi"/>
          <w:b/>
          <w:bCs/>
        </w:rPr>
        <w:t xml:space="preserve">Monitoring arrangements </w:t>
      </w:r>
    </w:p>
    <w:p w14:paraId="549754C0" w14:textId="5BFC2F6D" w:rsidR="00A50731" w:rsidRDefault="00A50731" w:rsidP="00A50731">
      <w:r w:rsidRPr="00523209">
        <w:t>This policy will be reviewed</w:t>
      </w:r>
      <w:r>
        <w:t xml:space="preserve"> and </w:t>
      </w:r>
      <w:r w:rsidRPr="003E769F">
        <w:rPr>
          <w:color w:val="000000"/>
        </w:rPr>
        <w:t xml:space="preserve">approved by </w:t>
      </w:r>
      <w:r>
        <w:rPr>
          <w:color w:val="000000"/>
        </w:rPr>
        <w:t>Luka Moscetano, EYFS Lead</w:t>
      </w:r>
      <w:r w:rsidRPr="003E769F">
        <w:rPr>
          <w:color w:val="000000"/>
        </w:rPr>
        <w:t xml:space="preserve"> every </w:t>
      </w:r>
      <w:r>
        <w:rPr>
          <w:color w:val="000000"/>
        </w:rPr>
        <w:t xml:space="preserve">year. </w:t>
      </w:r>
    </w:p>
    <w:p w14:paraId="3CEECC37" w14:textId="77777777" w:rsidR="00FC7937" w:rsidRPr="00590D9D" w:rsidRDefault="00FC7937">
      <w:pPr>
        <w:rPr>
          <w:rFonts w:cstheme="minorHAnsi"/>
        </w:rPr>
      </w:pPr>
    </w:p>
    <w:sectPr w:rsidR="00FC7937" w:rsidRPr="00590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w Cen MT">
    <w:altName w:val="Arial"/>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331BAA"/>
    <w:multiLevelType w:val="multilevel"/>
    <w:tmpl w:val="0678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55C0B"/>
    <w:multiLevelType w:val="hybridMultilevel"/>
    <w:tmpl w:val="DF1246F2"/>
    <w:lvl w:ilvl="0" w:tplc="460A3D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A7D17"/>
    <w:multiLevelType w:val="multilevel"/>
    <w:tmpl w:val="5232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ED7435"/>
    <w:multiLevelType w:val="multilevel"/>
    <w:tmpl w:val="E602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8B34B4"/>
    <w:multiLevelType w:val="multilevel"/>
    <w:tmpl w:val="238E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866BBC"/>
    <w:multiLevelType w:val="hybridMultilevel"/>
    <w:tmpl w:val="B51A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20620"/>
    <w:multiLevelType w:val="multilevel"/>
    <w:tmpl w:val="6F2C49E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abstractNum w:abstractNumId="8" w15:restartNumberingAfterBreak="0">
    <w:nsid w:val="759A5B90"/>
    <w:multiLevelType w:val="hybridMultilevel"/>
    <w:tmpl w:val="267E2BCE"/>
    <w:lvl w:ilvl="0" w:tplc="062AC1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5369574">
    <w:abstractNumId w:val="1"/>
  </w:num>
  <w:num w:numId="2" w16cid:durableId="1381593812">
    <w:abstractNumId w:val="7"/>
  </w:num>
  <w:num w:numId="3" w16cid:durableId="925924244">
    <w:abstractNumId w:val="3"/>
  </w:num>
  <w:num w:numId="4" w16cid:durableId="1234967579">
    <w:abstractNumId w:val="5"/>
  </w:num>
  <w:num w:numId="5" w16cid:durableId="947081394">
    <w:abstractNumId w:val="4"/>
  </w:num>
  <w:num w:numId="6" w16cid:durableId="1054813912">
    <w:abstractNumId w:val="0"/>
  </w:num>
  <w:num w:numId="7" w16cid:durableId="1595748418">
    <w:abstractNumId w:val="8"/>
  </w:num>
  <w:num w:numId="8" w16cid:durableId="1158764990">
    <w:abstractNumId w:val="2"/>
  </w:num>
  <w:num w:numId="9" w16cid:durableId="1654063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37"/>
    <w:rsid w:val="00017895"/>
    <w:rsid w:val="00046612"/>
    <w:rsid w:val="000B044D"/>
    <w:rsid w:val="000F6555"/>
    <w:rsid w:val="00110081"/>
    <w:rsid w:val="00125A13"/>
    <w:rsid w:val="001A0CE8"/>
    <w:rsid w:val="001A786A"/>
    <w:rsid w:val="001C6A00"/>
    <w:rsid w:val="001E7CD0"/>
    <w:rsid w:val="001F0264"/>
    <w:rsid w:val="001F0FB1"/>
    <w:rsid w:val="001F7F74"/>
    <w:rsid w:val="002B23E7"/>
    <w:rsid w:val="002D047E"/>
    <w:rsid w:val="002F7F57"/>
    <w:rsid w:val="00310EA3"/>
    <w:rsid w:val="0038650A"/>
    <w:rsid w:val="0039590F"/>
    <w:rsid w:val="004410C6"/>
    <w:rsid w:val="004452F0"/>
    <w:rsid w:val="004D468B"/>
    <w:rsid w:val="004E01DE"/>
    <w:rsid w:val="00510FF1"/>
    <w:rsid w:val="005676D4"/>
    <w:rsid w:val="00576B91"/>
    <w:rsid w:val="00581E25"/>
    <w:rsid w:val="00590D77"/>
    <w:rsid w:val="00590D9D"/>
    <w:rsid w:val="005D304C"/>
    <w:rsid w:val="005F419E"/>
    <w:rsid w:val="00615FB2"/>
    <w:rsid w:val="00624325"/>
    <w:rsid w:val="00633D98"/>
    <w:rsid w:val="0066040A"/>
    <w:rsid w:val="00666092"/>
    <w:rsid w:val="00676916"/>
    <w:rsid w:val="006874E8"/>
    <w:rsid w:val="006B194E"/>
    <w:rsid w:val="00702795"/>
    <w:rsid w:val="007233C0"/>
    <w:rsid w:val="007502D0"/>
    <w:rsid w:val="007C3593"/>
    <w:rsid w:val="00831CA6"/>
    <w:rsid w:val="00865CC3"/>
    <w:rsid w:val="008721E8"/>
    <w:rsid w:val="00877DB9"/>
    <w:rsid w:val="008F65DB"/>
    <w:rsid w:val="008F7C87"/>
    <w:rsid w:val="009767C1"/>
    <w:rsid w:val="009834C6"/>
    <w:rsid w:val="009F31F6"/>
    <w:rsid w:val="009F74D5"/>
    <w:rsid w:val="00A17502"/>
    <w:rsid w:val="00A50731"/>
    <w:rsid w:val="00A64700"/>
    <w:rsid w:val="00B0398E"/>
    <w:rsid w:val="00BE009A"/>
    <w:rsid w:val="00C01D5F"/>
    <w:rsid w:val="00C15D0C"/>
    <w:rsid w:val="00C16792"/>
    <w:rsid w:val="00C93776"/>
    <w:rsid w:val="00CA616F"/>
    <w:rsid w:val="00CF3C66"/>
    <w:rsid w:val="00D26C82"/>
    <w:rsid w:val="00D44C2B"/>
    <w:rsid w:val="00D522BC"/>
    <w:rsid w:val="00D82BEE"/>
    <w:rsid w:val="00DB4FB5"/>
    <w:rsid w:val="00DF38E2"/>
    <w:rsid w:val="00DF38F3"/>
    <w:rsid w:val="00E0287F"/>
    <w:rsid w:val="00E07505"/>
    <w:rsid w:val="00EC0F38"/>
    <w:rsid w:val="00EF3DEC"/>
    <w:rsid w:val="00F402FC"/>
    <w:rsid w:val="00F57AC9"/>
    <w:rsid w:val="00F97566"/>
    <w:rsid w:val="00FC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9721"/>
  <w15:chartTrackingRefBased/>
  <w15:docId w15:val="{1B96E76B-BA49-4467-834C-E271048D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FC7937"/>
    <w:pPr>
      <w:keepNext/>
      <w:keepLines/>
      <w:spacing w:after="13"/>
      <w:ind w:left="10" w:hanging="10"/>
      <w:outlineLvl w:val="0"/>
    </w:pPr>
    <w:rPr>
      <w:rFonts w:ascii="Berlin Sans FB" w:eastAsia="Berlin Sans FB" w:hAnsi="Berlin Sans FB" w:cs="Berlin Sans FB"/>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9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C7937"/>
    <w:rPr>
      <w:b/>
      <w:bCs/>
    </w:rPr>
  </w:style>
  <w:style w:type="character" w:customStyle="1" w:styleId="Heading1Char">
    <w:name w:val="Heading 1 Char"/>
    <w:basedOn w:val="DefaultParagraphFont"/>
    <w:link w:val="Heading1"/>
    <w:uiPriority w:val="9"/>
    <w:rsid w:val="00FC7937"/>
    <w:rPr>
      <w:rFonts w:ascii="Berlin Sans FB" w:eastAsia="Berlin Sans FB" w:hAnsi="Berlin Sans FB" w:cs="Berlin Sans FB"/>
      <w:b/>
      <w:color w:val="000000"/>
      <w:sz w:val="18"/>
      <w:lang w:eastAsia="en-GB"/>
    </w:rPr>
  </w:style>
  <w:style w:type="paragraph" w:customStyle="1" w:styleId="Default">
    <w:name w:val="Default"/>
    <w:rsid w:val="00FC7937"/>
    <w:pPr>
      <w:autoSpaceDE w:val="0"/>
      <w:autoSpaceDN w:val="0"/>
      <w:adjustRightInd w:val="0"/>
      <w:spacing w:after="0" w:line="240" w:lineRule="auto"/>
    </w:pPr>
    <w:rPr>
      <w:rFonts w:ascii="Rage Italic" w:hAnsi="Rage Italic" w:cs="Rage Italic"/>
      <w:color w:val="000000"/>
      <w:sz w:val="24"/>
      <w:szCs w:val="24"/>
    </w:rPr>
  </w:style>
  <w:style w:type="paragraph" w:styleId="ListParagraph">
    <w:name w:val="List Paragraph"/>
    <w:basedOn w:val="Normal"/>
    <w:uiPriority w:val="34"/>
    <w:qFormat/>
    <w:rsid w:val="00E0287F"/>
    <w:pPr>
      <w:ind w:left="720"/>
      <w:contextualSpacing/>
    </w:pPr>
  </w:style>
  <w:style w:type="paragraph" w:customStyle="1" w:styleId="Bulletedcopylevel2">
    <w:name w:val="Bulleted copy level 2"/>
    <w:basedOn w:val="Normal"/>
    <w:qFormat/>
    <w:rsid w:val="00B0398E"/>
    <w:pPr>
      <w:numPr>
        <w:numId w:val="6"/>
      </w:numPr>
      <w:spacing w:after="120" w:line="240" w:lineRule="auto"/>
    </w:pPr>
    <w:rPr>
      <w:rFonts w:ascii="Arial" w:eastAsia="MS Mincho" w:hAnsi="Arial" w:cs="Times New Roman"/>
      <w:sz w:val="20"/>
      <w:szCs w:val="24"/>
      <w:lang w:val="en-US"/>
    </w:rPr>
  </w:style>
  <w:style w:type="character" w:styleId="Hyperlink">
    <w:name w:val="Hyperlink"/>
    <w:uiPriority w:val="99"/>
    <w:unhideWhenUsed/>
    <w:qFormat/>
    <w:rsid w:val="00615FB2"/>
    <w:rPr>
      <w:color w:val="0072CC"/>
      <w:u w:val="single"/>
    </w:rPr>
  </w:style>
  <w:style w:type="character" w:styleId="FollowedHyperlink">
    <w:name w:val="FollowedHyperlink"/>
    <w:basedOn w:val="DefaultParagraphFont"/>
    <w:uiPriority w:val="99"/>
    <w:semiHidden/>
    <w:unhideWhenUsed/>
    <w:rsid w:val="00615F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6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e24012-4f80-47e0-aca5-09562b11e7fc">
      <Terms xmlns="http://schemas.microsoft.com/office/infopath/2007/PartnerControls"/>
    </lcf76f155ced4ddcb4097134ff3c332f>
    <TaxCatchAll xmlns="a093df21-a027-401e-9777-6ef27d51d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9FAC5C339F70146BC5CC02199A5C9CB" ma:contentTypeVersion="17" ma:contentTypeDescription="Create a new document." ma:contentTypeScope="" ma:versionID="ccff323f67efed861a36820467abe105">
  <xsd:schema xmlns:xsd="http://www.w3.org/2001/XMLSchema" xmlns:xs="http://www.w3.org/2001/XMLSchema" xmlns:p="http://schemas.microsoft.com/office/2006/metadata/properties" xmlns:ns2="e0e24012-4f80-47e0-aca5-09562b11e7fc" xmlns:ns3="a093df21-a027-401e-9777-6ef27d51da0e" targetNamespace="http://schemas.microsoft.com/office/2006/metadata/properties" ma:root="true" ma:fieldsID="9e442200dcd438255bb3588033e64cba" ns2:_="" ns3:_="">
    <xsd:import namespace="e0e24012-4f80-47e0-aca5-09562b11e7fc"/>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24012-4f80-47e0-aca5-09562b1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ecb6b7-e41a-45ba-b1f8-1edde0b336f3}"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421988-AB25-42E9-8934-FC7964EF5CFD}">
  <ds:schemaRefs>
    <ds:schemaRef ds:uri="http://schemas.openxmlformats.org/package/2006/metadata/core-properties"/>
    <ds:schemaRef ds:uri="e0e24012-4f80-47e0-aca5-09562b11e7fc"/>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purl.org/dc/terms/"/>
    <ds:schemaRef ds:uri="a093df21-a027-401e-9777-6ef27d51da0e"/>
    <ds:schemaRef ds:uri="http://schemas.microsoft.com/office/2006/metadata/properties"/>
  </ds:schemaRefs>
</ds:datastoreItem>
</file>

<file path=customXml/itemProps2.xml><?xml version="1.0" encoding="utf-8"?>
<ds:datastoreItem xmlns:ds="http://schemas.openxmlformats.org/officeDocument/2006/customXml" ds:itemID="{49420CBD-C7B8-4AF4-958F-8FA5739D0470}">
  <ds:schemaRefs>
    <ds:schemaRef ds:uri="http://schemas.microsoft.com/sharepoint/v3/contenttype/forms"/>
  </ds:schemaRefs>
</ds:datastoreItem>
</file>

<file path=customXml/itemProps3.xml><?xml version="1.0" encoding="utf-8"?>
<ds:datastoreItem xmlns:ds="http://schemas.openxmlformats.org/officeDocument/2006/customXml" ds:itemID="{21C55440-49C9-4C27-A894-FFFD54C9A273}">
  <ds:schemaRefs>
    <ds:schemaRef ds:uri="http://schemas.openxmlformats.org/officeDocument/2006/bibliography"/>
  </ds:schemaRefs>
</ds:datastoreItem>
</file>

<file path=customXml/itemProps4.xml><?xml version="1.0" encoding="utf-8"?>
<ds:datastoreItem xmlns:ds="http://schemas.openxmlformats.org/officeDocument/2006/customXml" ds:itemID="{0D371CEA-71F0-4DC1-8881-59D7FB528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24012-4f80-47e0-aca5-09562b11e7fc"/>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1454</Words>
  <Characters>8289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Mead Educational Trust</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Woodhouse</dc:creator>
  <cp:keywords/>
  <dc:description/>
  <cp:lastModifiedBy>Luka Moscetano</cp:lastModifiedBy>
  <cp:revision>2</cp:revision>
  <dcterms:created xsi:type="dcterms:W3CDTF">2023-10-29T15:17:00Z</dcterms:created>
  <dcterms:modified xsi:type="dcterms:W3CDTF">2023-10-29T15:17:00Z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0x010100C9FAC5C339F70146BC5CC02199A5C9CB</vt:lpwstr>
  </property>
  <property fmtid="{D5CDD505-2E9C-101B-9397-08002B2CF9AE}" pid="3" name="Order">
    <vt:r8>662400</vt:r8>
  </property>
  <property fmtid="{D5CDD505-2E9C-101B-9397-08002B2CF9AE}" pid="4" name="MediaServiceImageTags">
    <vt:lpwstr/>
  </property>
</Properties>
</file>